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5A03E" w14:textId="4D893C23" w:rsidR="000B09B0" w:rsidRDefault="000B09B0" w:rsidP="00590335">
      <w:pPr>
        <w:jc w:val="center"/>
        <w:rPr>
          <w:rFonts w:cs="Arial"/>
          <w:color w:val="000000"/>
          <w:sz w:val="32"/>
          <w:szCs w:val="32"/>
        </w:rPr>
      </w:pPr>
      <w:r>
        <w:rPr>
          <w:rFonts w:cs="Arial"/>
          <w:color w:val="000000"/>
          <w:sz w:val="32"/>
          <w:szCs w:val="32"/>
        </w:rPr>
        <w:t xml:space="preserve">Aus der </w:t>
      </w:r>
    </w:p>
    <w:p w14:paraId="7C509041" w14:textId="2370B3FC" w:rsidR="00C85902" w:rsidRDefault="00C85902" w:rsidP="00590335">
      <w:pPr>
        <w:jc w:val="center"/>
        <w:rPr>
          <w:rFonts w:cs="Arial"/>
          <w:color w:val="000000"/>
          <w:sz w:val="32"/>
          <w:szCs w:val="32"/>
        </w:rPr>
      </w:pPr>
      <w:r>
        <w:rPr>
          <w:rFonts w:cs="Arial"/>
          <w:color w:val="000000"/>
          <w:sz w:val="32"/>
          <w:szCs w:val="32"/>
        </w:rPr>
        <w:t>Universitätsklinik</w:t>
      </w:r>
      <w:r w:rsidR="000B09B0">
        <w:rPr>
          <w:rFonts w:cs="Arial"/>
          <w:color w:val="000000"/>
          <w:sz w:val="32"/>
          <w:szCs w:val="32"/>
        </w:rPr>
        <w:t xml:space="preserve"> </w:t>
      </w:r>
      <w:r>
        <w:rPr>
          <w:rFonts w:cs="Arial"/>
          <w:color w:val="000000"/>
          <w:sz w:val="32"/>
          <w:szCs w:val="32"/>
        </w:rPr>
        <w:t>für Urologie</w:t>
      </w:r>
      <w:r w:rsidR="000B09B0" w:rsidRPr="000B09B0">
        <w:rPr>
          <w:rFonts w:cs="Arial"/>
          <w:color w:val="000000"/>
          <w:sz w:val="32"/>
          <w:szCs w:val="32"/>
        </w:rPr>
        <w:t xml:space="preserve"> </w:t>
      </w:r>
      <w:r w:rsidR="000B09B0">
        <w:rPr>
          <w:rFonts w:cs="Arial"/>
          <w:color w:val="000000"/>
          <w:sz w:val="32"/>
          <w:szCs w:val="32"/>
        </w:rPr>
        <w:t>Tübingen</w:t>
      </w:r>
    </w:p>
    <w:p w14:paraId="39BB1648" w14:textId="77777777" w:rsidR="00C85902" w:rsidRDefault="00C85902" w:rsidP="001B35D4">
      <w:pPr>
        <w:jc w:val="center"/>
        <w:rPr>
          <w:rFonts w:cs="Arial"/>
          <w:color w:val="000000"/>
          <w:sz w:val="32"/>
          <w:szCs w:val="32"/>
        </w:rPr>
      </w:pPr>
    </w:p>
    <w:p w14:paraId="77B94081" w14:textId="77777777" w:rsidR="000B09B0" w:rsidRDefault="000B09B0" w:rsidP="001B35D4">
      <w:pPr>
        <w:jc w:val="center"/>
        <w:rPr>
          <w:rFonts w:cs="Arial"/>
          <w:color w:val="000000"/>
          <w:sz w:val="32"/>
          <w:szCs w:val="32"/>
        </w:rPr>
      </w:pPr>
    </w:p>
    <w:p w14:paraId="5952ADFC" w14:textId="77777777" w:rsidR="00C85902" w:rsidRPr="00425DB9" w:rsidRDefault="00C85902" w:rsidP="003331F6">
      <w:pPr>
        <w:jc w:val="center"/>
        <w:rPr>
          <w:rFonts w:cs="Arial"/>
          <w:color w:val="000000"/>
          <w:sz w:val="32"/>
          <w:szCs w:val="32"/>
        </w:rPr>
      </w:pPr>
    </w:p>
    <w:p w14:paraId="53E9709E" w14:textId="35B5A1C4" w:rsidR="00C85902" w:rsidRDefault="00C85902" w:rsidP="00E84CFB">
      <w:pPr>
        <w:spacing w:line="240" w:lineRule="auto"/>
        <w:jc w:val="center"/>
        <w:rPr>
          <w:rFonts w:cs="Arial"/>
          <w:b/>
          <w:bCs/>
          <w:color w:val="000000"/>
          <w:sz w:val="32"/>
          <w:szCs w:val="32"/>
        </w:rPr>
      </w:pPr>
      <w:r>
        <w:rPr>
          <w:rFonts w:cs="Arial"/>
          <w:b/>
          <w:bCs/>
          <w:color w:val="000000"/>
          <w:sz w:val="32"/>
          <w:szCs w:val="32"/>
        </w:rPr>
        <w:t xml:space="preserve">Einfluss von Mykoplasmen auf die Expression von CD276 </w:t>
      </w:r>
      <w:r w:rsidR="000B09B0">
        <w:rPr>
          <w:rFonts w:cs="Arial"/>
          <w:b/>
          <w:bCs/>
          <w:color w:val="000000"/>
          <w:sz w:val="32"/>
          <w:szCs w:val="32"/>
        </w:rPr>
        <w:br/>
      </w:r>
      <w:r>
        <w:rPr>
          <w:rFonts w:cs="Arial"/>
          <w:b/>
          <w:bCs/>
          <w:color w:val="000000"/>
          <w:sz w:val="32"/>
          <w:szCs w:val="32"/>
        </w:rPr>
        <w:t xml:space="preserve">auf Blasentumorzellen </w:t>
      </w:r>
    </w:p>
    <w:p w14:paraId="1D0C3B6F" w14:textId="77777777" w:rsidR="000B09B0" w:rsidRDefault="000B09B0" w:rsidP="00E84CFB">
      <w:pPr>
        <w:spacing w:line="240" w:lineRule="auto"/>
        <w:jc w:val="center"/>
        <w:rPr>
          <w:rFonts w:cs="Arial"/>
          <w:b/>
          <w:bCs/>
          <w:color w:val="000000"/>
          <w:sz w:val="32"/>
          <w:szCs w:val="32"/>
        </w:rPr>
      </w:pPr>
    </w:p>
    <w:p w14:paraId="46B80394" w14:textId="77777777" w:rsidR="000B09B0" w:rsidRDefault="000B09B0" w:rsidP="00E84CFB">
      <w:pPr>
        <w:spacing w:line="240" w:lineRule="auto"/>
        <w:jc w:val="center"/>
        <w:rPr>
          <w:rFonts w:cs="Arial"/>
          <w:b/>
          <w:bCs/>
          <w:color w:val="000000"/>
          <w:sz w:val="32"/>
          <w:szCs w:val="32"/>
        </w:rPr>
      </w:pPr>
    </w:p>
    <w:p w14:paraId="2C38BE06" w14:textId="77777777" w:rsidR="00C85902" w:rsidRPr="00F720CB" w:rsidRDefault="00C85902" w:rsidP="003331F6">
      <w:pPr>
        <w:jc w:val="center"/>
        <w:rPr>
          <w:rFonts w:cs="Arial"/>
          <w:b/>
          <w:bCs/>
          <w:color w:val="000000"/>
          <w:szCs w:val="24"/>
        </w:rPr>
      </w:pPr>
    </w:p>
    <w:p w14:paraId="17DEC3EC" w14:textId="77777777" w:rsidR="00C85902" w:rsidRDefault="00C85902" w:rsidP="00E84CFB">
      <w:pPr>
        <w:spacing w:line="240" w:lineRule="auto"/>
        <w:jc w:val="center"/>
        <w:rPr>
          <w:rFonts w:cs="Arial"/>
          <w:b/>
          <w:color w:val="000000"/>
          <w:sz w:val="28"/>
          <w:szCs w:val="28"/>
        </w:rPr>
      </w:pPr>
      <w:r w:rsidRPr="00CF360F">
        <w:rPr>
          <w:rFonts w:cs="Arial"/>
          <w:b/>
          <w:color w:val="000000"/>
          <w:sz w:val="28"/>
          <w:szCs w:val="28"/>
        </w:rPr>
        <w:t>Inaugural-Dissertation</w:t>
      </w:r>
      <w:r w:rsidRPr="00CF360F">
        <w:rPr>
          <w:rFonts w:cs="Arial"/>
          <w:b/>
          <w:color w:val="000000"/>
          <w:sz w:val="28"/>
          <w:szCs w:val="28"/>
        </w:rPr>
        <w:br/>
        <w:t>zur Erlangung des Doktorgrades</w:t>
      </w:r>
      <w:r w:rsidRPr="00CF360F">
        <w:rPr>
          <w:rFonts w:cs="Arial"/>
          <w:b/>
          <w:color w:val="000000"/>
          <w:sz w:val="28"/>
          <w:szCs w:val="28"/>
        </w:rPr>
        <w:br/>
        <w:t>der Medizin</w:t>
      </w:r>
    </w:p>
    <w:p w14:paraId="569FDA5E" w14:textId="77777777" w:rsidR="000B09B0" w:rsidRDefault="000B09B0" w:rsidP="00E84CFB">
      <w:pPr>
        <w:spacing w:line="240" w:lineRule="auto"/>
        <w:jc w:val="center"/>
        <w:rPr>
          <w:rFonts w:cs="Arial"/>
          <w:b/>
          <w:color w:val="000000"/>
          <w:sz w:val="28"/>
          <w:szCs w:val="28"/>
        </w:rPr>
      </w:pPr>
    </w:p>
    <w:p w14:paraId="580F031C" w14:textId="77777777" w:rsidR="00C85902" w:rsidRPr="00CF360F" w:rsidRDefault="00C85902" w:rsidP="00E84CFB">
      <w:pPr>
        <w:spacing w:line="240" w:lineRule="auto"/>
        <w:jc w:val="center"/>
        <w:rPr>
          <w:rFonts w:cs="Arial"/>
          <w:b/>
          <w:color w:val="000000"/>
          <w:sz w:val="28"/>
          <w:szCs w:val="28"/>
        </w:rPr>
      </w:pPr>
    </w:p>
    <w:p w14:paraId="52F722DC" w14:textId="77777777" w:rsidR="00C85902" w:rsidRPr="00CF360F" w:rsidRDefault="00C85902" w:rsidP="005A7C4B">
      <w:pPr>
        <w:spacing w:line="240" w:lineRule="auto"/>
        <w:jc w:val="center"/>
        <w:rPr>
          <w:rFonts w:cs="Arial"/>
          <w:b/>
          <w:color w:val="000000"/>
          <w:sz w:val="28"/>
          <w:szCs w:val="28"/>
        </w:rPr>
      </w:pPr>
      <w:r w:rsidRPr="00CF360F">
        <w:rPr>
          <w:rFonts w:cs="Arial"/>
          <w:b/>
          <w:color w:val="000000"/>
          <w:sz w:val="28"/>
          <w:szCs w:val="28"/>
        </w:rPr>
        <w:t>der Medizinischen Fakultät</w:t>
      </w:r>
      <w:r>
        <w:rPr>
          <w:rFonts w:cs="Arial"/>
          <w:b/>
          <w:color w:val="000000"/>
          <w:sz w:val="28"/>
          <w:szCs w:val="28"/>
        </w:rPr>
        <w:br/>
      </w:r>
      <w:r w:rsidRPr="00CF360F">
        <w:rPr>
          <w:rFonts w:cs="Arial"/>
          <w:b/>
          <w:color w:val="000000"/>
          <w:sz w:val="28"/>
          <w:szCs w:val="28"/>
        </w:rPr>
        <w:t>der Eberhard Karls Universität</w:t>
      </w:r>
      <w:r w:rsidRPr="00CF360F">
        <w:rPr>
          <w:rFonts w:cs="Arial"/>
          <w:b/>
          <w:color w:val="000000"/>
          <w:sz w:val="28"/>
          <w:szCs w:val="28"/>
        </w:rPr>
        <w:br/>
        <w:t>zu Tübingen</w:t>
      </w:r>
    </w:p>
    <w:p w14:paraId="6E013C05" w14:textId="77777777" w:rsidR="00C85902" w:rsidRPr="00F720CB" w:rsidRDefault="00C85902" w:rsidP="003331F6">
      <w:pPr>
        <w:jc w:val="center"/>
        <w:rPr>
          <w:rFonts w:cs="Arial"/>
          <w:b/>
          <w:bCs/>
          <w:color w:val="000000"/>
          <w:szCs w:val="24"/>
        </w:rPr>
      </w:pPr>
    </w:p>
    <w:p w14:paraId="20524955" w14:textId="77777777" w:rsidR="000B09B0" w:rsidRDefault="000B09B0" w:rsidP="000B09B0">
      <w:pPr>
        <w:jc w:val="center"/>
        <w:rPr>
          <w:rFonts w:cs="Arial"/>
          <w:color w:val="000000"/>
          <w:szCs w:val="24"/>
        </w:rPr>
      </w:pPr>
    </w:p>
    <w:p w14:paraId="6DB64C68" w14:textId="059E2DDE" w:rsidR="000B09B0" w:rsidRDefault="00C85902" w:rsidP="000B09B0">
      <w:pPr>
        <w:jc w:val="center"/>
        <w:rPr>
          <w:rFonts w:cs="Arial"/>
          <w:b/>
          <w:color w:val="000000"/>
          <w:sz w:val="28"/>
          <w:szCs w:val="28"/>
        </w:rPr>
      </w:pPr>
      <w:r w:rsidRPr="00F720CB">
        <w:rPr>
          <w:rFonts w:cs="Arial"/>
          <w:color w:val="000000"/>
          <w:szCs w:val="24"/>
        </w:rPr>
        <w:br/>
      </w:r>
      <w:r w:rsidRPr="00CF360F">
        <w:rPr>
          <w:rFonts w:cs="Arial"/>
          <w:b/>
          <w:color w:val="000000"/>
          <w:sz w:val="28"/>
          <w:szCs w:val="28"/>
        </w:rPr>
        <w:t>vorgelegt von</w:t>
      </w:r>
    </w:p>
    <w:p w14:paraId="013BA255" w14:textId="573D8223" w:rsidR="00C85902" w:rsidRPr="00CF360F" w:rsidRDefault="00C85902" w:rsidP="000B09B0">
      <w:pPr>
        <w:jc w:val="center"/>
        <w:rPr>
          <w:rFonts w:cs="Arial"/>
          <w:b/>
          <w:color w:val="000000"/>
          <w:sz w:val="28"/>
          <w:szCs w:val="28"/>
        </w:rPr>
      </w:pPr>
      <w:r w:rsidRPr="00CF360F">
        <w:rPr>
          <w:rFonts w:cs="Arial"/>
          <w:b/>
          <w:color w:val="000000"/>
          <w:sz w:val="28"/>
          <w:szCs w:val="28"/>
        </w:rPr>
        <w:t>Zenner, Nathalie Elisa Christine</w:t>
      </w:r>
    </w:p>
    <w:p w14:paraId="67CF4A47" w14:textId="15B9213A" w:rsidR="00C85902" w:rsidRPr="000B09B0" w:rsidRDefault="000B09B0" w:rsidP="003331F6">
      <w:pPr>
        <w:jc w:val="center"/>
        <w:rPr>
          <w:rFonts w:cs="Arial"/>
          <w:b/>
          <w:color w:val="000000"/>
          <w:sz w:val="28"/>
          <w:szCs w:val="28"/>
        </w:rPr>
      </w:pPr>
      <w:r w:rsidRPr="000B09B0">
        <w:rPr>
          <w:rFonts w:cs="Arial"/>
          <w:b/>
          <w:color w:val="000000"/>
          <w:sz w:val="28"/>
          <w:szCs w:val="28"/>
        </w:rPr>
        <w:t>2024</w:t>
      </w:r>
    </w:p>
    <w:p w14:paraId="3419BEE6" w14:textId="75A46A9F" w:rsidR="00C85902" w:rsidRPr="00CF360F" w:rsidRDefault="00C85902" w:rsidP="000B09B0">
      <w:pPr>
        <w:rPr>
          <w:rFonts w:cs="Arial"/>
          <w:b/>
          <w:color w:val="000000"/>
          <w:szCs w:val="24"/>
        </w:rPr>
      </w:pPr>
      <w:r w:rsidRPr="00CF360F">
        <w:rPr>
          <w:rFonts w:cs="Arial"/>
          <w:b/>
          <w:color w:val="000000"/>
          <w:szCs w:val="24"/>
        </w:rPr>
        <w:br w:type="page"/>
      </w:r>
    </w:p>
    <w:p w14:paraId="5ABD4363" w14:textId="77777777" w:rsidR="00C85902" w:rsidRPr="00F720CB" w:rsidRDefault="00C85902" w:rsidP="003331F6">
      <w:pPr>
        <w:rPr>
          <w:rFonts w:cs="Arial"/>
          <w:color w:val="000000"/>
          <w:szCs w:val="24"/>
        </w:rPr>
      </w:pPr>
    </w:p>
    <w:p w14:paraId="29CF11E5" w14:textId="77777777" w:rsidR="00C85902" w:rsidRPr="00F720CB" w:rsidRDefault="00C85902" w:rsidP="003331F6">
      <w:pPr>
        <w:rPr>
          <w:rFonts w:cs="Arial"/>
          <w:color w:val="000000"/>
          <w:szCs w:val="24"/>
        </w:rPr>
      </w:pPr>
    </w:p>
    <w:p w14:paraId="07EE4B5F" w14:textId="77777777" w:rsidR="00C85902" w:rsidRPr="00F720CB" w:rsidRDefault="00C85902" w:rsidP="003331F6">
      <w:pPr>
        <w:rPr>
          <w:rFonts w:cs="Arial"/>
          <w:color w:val="000000"/>
          <w:szCs w:val="24"/>
        </w:rPr>
      </w:pPr>
    </w:p>
    <w:p w14:paraId="5BCE326F" w14:textId="77777777" w:rsidR="00C85902" w:rsidRPr="00F720CB" w:rsidRDefault="00C85902" w:rsidP="003331F6">
      <w:pPr>
        <w:rPr>
          <w:rFonts w:cs="Arial"/>
          <w:color w:val="000000"/>
          <w:szCs w:val="24"/>
        </w:rPr>
      </w:pPr>
    </w:p>
    <w:p w14:paraId="1071ABA3" w14:textId="77777777" w:rsidR="00C85902" w:rsidRPr="00F720CB" w:rsidRDefault="00C85902" w:rsidP="003331F6">
      <w:pPr>
        <w:rPr>
          <w:rFonts w:cs="Arial"/>
          <w:color w:val="000000"/>
          <w:szCs w:val="24"/>
        </w:rPr>
      </w:pPr>
    </w:p>
    <w:p w14:paraId="73D2417C" w14:textId="77777777" w:rsidR="00C85902" w:rsidRPr="00F720CB" w:rsidRDefault="00C85902" w:rsidP="003331F6">
      <w:pPr>
        <w:rPr>
          <w:rFonts w:cs="Arial"/>
          <w:color w:val="000000"/>
          <w:szCs w:val="24"/>
        </w:rPr>
      </w:pPr>
    </w:p>
    <w:p w14:paraId="642737DE" w14:textId="77777777" w:rsidR="00C85902" w:rsidRPr="00F720CB" w:rsidRDefault="00C85902" w:rsidP="003331F6">
      <w:pPr>
        <w:rPr>
          <w:rFonts w:cs="Arial"/>
          <w:color w:val="000000"/>
          <w:szCs w:val="24"/>
        </w:rPr>
      </w:pPr>
    </w:p>
    <w:p w14:paraId="4F97295F" w14:textId="77777777" w:rsidR="00C85902" w:rsidRPr="00F720CB" w:rsidRDefault="00C85902" w:rsidP="003331F6">
      <w:pPr>
        <w:rPr>
          <w:rFonts w:cs="Arial"/>
          <w:color w:val="000000"/>
          <w:szCs w:val="24"/>
        </w:rPr>
      </w:pPr>
    </w:p>
    <w:p w14:paraId="751B06A9" w14:textId="77777777" w:rsidR="00C85902" w:rsidRPr="00F720CB" w:rsidRDefault="00C85902" w:rsidP="003331F6">
      <w:pPr>
        <w:rPr>
          <w:rFonts w:cs="Arial"/>
          <w:color w:val="000000"/>
          <w:szCs w:val="24"/>
        </w:rPr>
      </w:pPr>
    </w:p>
    <w:p w14:paraId="28DB89D7" w14:textId="77777777" w:rsidR="00C85902" w:rsidRPr="00F720CB" w:rsidRDefault="00C85902" w:rsidP="003331F6">
      <w:pPr>
        <w:rPr>
          <w:rFonts w:cs="Arial"/>
          <w:color w:val="000000"/>
          <w:szCs w:val="24"/>
        </w:rPr>
      </w:pPr>
    </w:p>
    <w:p w14:paraId="0943CE1B" w14:textId="77777777" w:rsidR="00C85902" w:rsidRPr="00F720CB" w:rsidRDefault="00C85902" w:rsidP="003331F6">
      <w:pPr>
        <w:rPr>
          <w:rFonts w:cs="Arial"/>
          <w:color w:val="000000"/>
          <w:szCs w:val="24"/>
        </w:rPr>
      </w:pPr>
    </w:p>
    <w:p w14:paraId="0946A2DA" w14:textId="77777777" w:rsidR="00C85902" w:rsidRPr="00F720CB" w:rsidRDefault="00C85902" w:rsidP="003331F6">
      <w:pPr>
        <w:rPr>
          <w:rFonts w:cs="Arial"/>
          <w:color w:val="000000"/>
          <w:szCs w:val="24"/>
        </w:rPr>
      </w:pPr>
    </w:p>
    <w:p w14:paraId="75E22BC8" w14:textId="77777777" w:rsidR="00C85902" w:rsidRPr="00F720CB" w:rsidRDefault="00C85902" w:rsidP="003331F6">
      <w:pPr>
        <w:rPr>
          <w:rFonts w:cs="Arial"/>
          <w:color w:val="000000"/>
          <w:szCs w:val="24"/>
        </w:rPr>
      </w:pPr>
    </w:p>
    <w:p w14:paraId="00B68668" w14:textId="77777777" w:rsidR="00C85902" w:rsidRPr="00F720CB" w:rsidRDefault="00C85902" w:rsidP="003331F6">
      <w:pPr>
        <w:rPr>
          <w:rFonts w:cs="Arial"/>
          <w:color w:val="000000"/>
          <w:szCs w:val="24"/>
        </w:rPr>
      </w:pPr>
    </w:p>
    <w:p w14:paraId="56CDF2F9" w14:textId="747906BD" w:rsidR="00C85902" w:rsidRPr="00F720CB" w:rsidRDefault="00C85902" w:rsidP="003331F6">
      <w:pPr>
        <w:rPr>
          <w:rFonts w:cs="Arial"/>
          <w:color w:val="000000"/>
          <w:szCs w:val="24"/>
        </w:rPr>
      </w:pPr>
      <w:r w:rsidRPr="00F720CB">
        <w:rPr>
          <w:rFonts w:cs="Arial"/>
          <w:color w:val="000000"/>
          <w:szCs w:val="24"/>
        </w:rPr>
        <w:br/>
      </w:r>
    </w:p>
    <w:p w14:paraId="35EF14E5" w14:textId="77777777" w:rsidR="00C85902" w:rsidRPr="00F720CB" w:rsidRDefault="00C85902" w:rsidP="003331F6">
      <w:pPr>
        <w:rPr>
          <w:rFonts w:cs="Arial"/>
          <w:color w:val="000000"/>
          <w:szCs w:val="24"/>
        </w:rPr>
      </w:pPr>
    </w:p>
    <w:p w14:paraId="10BA82B6" w14:textId="67D33B74" w:rsidR="00C85902" w:rsidRDefault="00C85902" w:rsidP="003D6C6A">
      <w:pPr>
        <w:rPr>
          <w:b/>
          <w:sz w:val="28"/>
          <w:szCs w:val="28"/>
        </w:rPr>
      </w:pPr>
      <w:r w:rsidRPr="00F720CB">
        <w:rPr>
          <w:rFonts w:cs="Arial"/>
          <w:color w:val="000000"/>
          <w:szCs w:val="24"/>
        </w:rPr>
        <w:br/>
      </w:r>
    </w:p>
    <w:p w14:paraId="5E352FB2" w14:textId="77777777" w:rsidR="00C85902" w:rsidRDefault="00C85902" w:rsidP="00C60555">
      <w:pPr>
        <w:rPr>
          <w:b/>
          <w:sz w:val="28"/>
          <w:szCs w:val="28"/>
        </w:rPr>
      </w:pPr>
    </w:p>
    <w:p w14:paraId="28C03F37" w14:textId="77777777" w:rsidR="003D6C6A" w:rsidRDefault="003D6C6A" w:rsidP="00C60555"/>
    <w:p w14:paraId="7C789839" w14:textId="77777777" w:rsidR="003D6C6A" w:rsidRDefault="003D6C6A" w:rsidP="00C60555"/>
    <w:p w14:paraId="4FAB3349" w14:textId="77777777" w:rsidR="003D6C6A" w:rsidRDefault="003D6C6A" w:rsidP="00C60555"/>
    <w:p w14:paraId="7D3400E8" w14:textId="77777777" w:rsidR="003D6C6A" w:rsidRDefault="003D6C6A" w:rsidP="00C60555"/>
    <w:p w14:paraId="412F7FC8" w14:textId="77777777" w:rsidR="003D6C6A" w:rsidRDefault="003D6C6A" w:rsidP="00C60555"/>
    <w:p w14:paraId="5449C1EC" w14:textId="77777777" w:rsidR="003D6C6A" w:rsidRDefault="003D6C6A" w:rsidP="00C60555"/>
    <w:p w14:paraId="439E03EE" w14:textId="77777777" w:rsidR="003D6C6A" w:rsidRDefault="003D6C6A" w:rsidP="00C60555"/>
    <w:p w14:paraId="29C31FBA" w14:textId="77777777" w:rsidR="003D6C6A" w:rsidRDefault="003D6C6A" w:rsidP="00C60555"/>
    <w:p w14:paraId="7A915B0D" w14:textId="77777777" w:rsidR="003D6C6A" w:rsidRDefault="003D6C6A" w:rsidP="00C60555"/>
    <w:p w14:paraId="1686AD8B" w14:textId="77777777" w:rsidR="003D6C6A" w:rsidRDefault="003D6C6A" w:rsidP="00C60555"/>
    <w:p w14:paraId="222B9342" w14:textId="77777777" w:rsidR="003D6C6A" w:rsidRDefault="003D6C6A" w:rsidP="00C60555"/>
    <w:p w14:paraId="7D20AFC7" w14:textId="77777777" w:rsidR="003D6C6A" w:rsidRDefault="003D6C6A" w:rsidP="00C60555"/>
    <w:p w14:paraId="462985B6" w14:textId="77777777" w:rsidR="003D6C6A" w:rsidRDefault="003D6C6A" w:rsidP="00C60555"/>
    <w:p w14:paraId="656E6114" w14:textId="77777777" w:rsidR="003D6C6A" w:rsidRDefault="003D6C6A" w:rsidP="00C60555"/>
    <w:p w14:paraId="4FE47B34" w14:textId="77777777" w:rsidR="003D6C6A" w:rsidRDefault="003D6C6A" w:rsidP="00C60555"/>
    <w:p w14:paraId="03F12481" w14:textId="77777777" w:rsidR="003D6C6A" w:rsidRDefault="003D6C6A" w:rsidP="00C60555"/>
    <w:p w14:paraId="6ED0EB6C" w14:textId="77777777" w:rsidR="003D6C6A" w:rsidRDefault="003D6C6A" w:rsidP="00C60555"/>
    <w:p w14:paraId="5B36D318" w14:textId="77777777" w:rsidR="003D6C6A" w:rsidRDefault="003D6C6A" w:rsidP="00C60555"/>
    <w:p w14:paraId="659DF756" w14:textId="77777777" w:rsidR="003D6C6A" w:rsidRDefault="003D6C6A" w:rsidP="00C60555"/>
    <w:p w14:paraId="7840DF22" w14:textId="77777777" w:rsidR="003D6C6A" w:rsidRDefault="003D6C6A" w:rsidP="00C60555"/>
    <w:p w14:paraId="356E0967" w14:textId="77777777" w:rsidR="003D6C6A" w:rsidRDefault="003D6C6A" w:rsidP="00C60555"/>
    <w:p w14:paraId="4E8AE06C" w14:textId="77777777" w:rsidR="003D6C6A" w:rsidRPr="00F720CB" w:rsidRDefault="003D6C6A" w:rsidP="003D6C6A">
      <w:pPr>
        <w:rPr>
          <w:rFonts w:cs="Arial"/>
          <w:color w:val="000000"/>
          <w:szCs w:val="24"/>
        </w:rPr>
      </w:pPr>
      <w:r w:rsidRPr="00F720CB">
        <w:rPr>
          <w:rFonts w:cs="Arial"/>
          <w:color w:val="000000"/>
          <w:szCs w:val="24"/>
        </w:rPr>
        <w:t xml:space="preserve">Dekan: </w:t>
      </w:r>
      <w:r>
        <w:rPr>
          <w:rFonts w:cs="Arial"/>
          <w:color w:val="000000"/>
          <w:szCs w:val="24"/>
        </w:rPr>
        <w:tab/>
      </w:r>
      <w:r>
        <w:rPr>
          <w:rFonts w:cs="Arial"/>
          <w:color w:val="000000"/>
          <w:szCs w:val="24"/>
        </w:rPr>
        <w:tab/>
      </w:r>
      <w:r>
        <w:rPr>
          <w:rFonts w:cs="Arial"/>
          <w:color w:val="000000"/>
          <w:szCs w:val="24"/>
        </w:rPr>
        <w:tab/>
      </w:r>
      <w:r w:rsidRPr="00F720CB">
        <w:rPr>
          <w:rFonts w:cs="Arial"/>
          <w:color w:val="000000"/>
          <w:szCs w:val="24"/>
        </w:rPr>
        <w:t>Prof</w:t>
      </w:r>
      <w:r>
        <w:rPr>
          <w:rFonts w:cs="Arial"/>
          <w:color w:val="000000"/>
          <w:szCs w:val="24"/>
        </w:rPr>
        <w:t>essor</w:t>
      </w:r>
      <w:r w:rsidRPr="00F720CB">
        <w:rPr>
          <w:rFonts w:cs="Arial"/>
          <w:color w:val="000000"/>
          <w:szCs w:val="24"/>
        </w:rPr>
        <w:t xml:space="preserve"> Dr.</w:t>
      </w:r>
      <w:r>
        <w:rPr>
          <w:rFonts w:cs="Arial"/>
          <w:color w:val="000000"/>
          <w:szCs w:val="24"/>
        </w:rPr>
        <w:t xml:space="preserve"> B. Pichler</w:t>
      </w:r>
    </w:p>
    <w:p w14:paraId="40D062C8" w14:textId="77777777" w:rsidR="003D6C6A" w:rsidRDefault="003D6C6A" w:rsidP="003D6C6A">
      <w:pPr>
        <w:rPr>
          <w:rFonts w:cs="Arial"/>
          <w:color w:val="000000"/>
          <w:szCs w:val="24"/>
        </w:rPr>
      </w:pPr>
      <w:r w:rsidRPr="00F720CB">
        <w:rPr>
          <w:rFonts w:cs="Arial"/>
          <w:color w:val="000000"/>
          <w:szCs w:val="24"/>
        </w:rPr>
        <w:t xml:space="preserve">1. Berichterstatter: </w:t>
      </w:r>
      <w:r>
        <w:rPr>
          <w:rFonts w:cs="Arial"/>
          <w:color w:val="000000"/>
          <w:szCs w:val="24"/>
        </w:rPr>
        <w:tab/>
      </w:r>
      <w:r>
        <w:rPr>
          <w:rFonts w:cs="Arial"/>
          <w:color w:val="000000"/>
          <w:szCs w:val="24"/>
        </w:rPr>
        <w:tab/>
        <w:t>Professor Dr. W. K. Aicher</w:t>
      </w:r>
    </w:p>
    <w:p w14:paraId="156A5A71" w14:textId="77777777" w:rsidR="003D6C6A" w:rsidRPr="00F720CB" w:rsidRDefault="003D6C6A" w:rsidP="003D6C6A">
      <w:pPr>
        <w:rPr>
          <w:rFonts w:cs="Arial"/>
          <w:color w:val="000000"/>
          <w:szCs w:val="24"/>
        </w:rPr>
      </w:pPr>
      <w:r w:rsidRPr="00F720CB">
        <w:rPr>
          <w:rFonts w:cs="Arial"/>
          <w:color w:val="000000"/>
          <w:szCs w:val="24"/>
        </w:rPr>
        <w:t xml:space="preserve">2. Berichterstatter: </w:t>
      </w:r>
      <w:r>
        <w:rPr>
          <w:rFonts w:cs="Arial"/>
          <w:color w:val="000000"/>
          <w:szCs w:val="24"/>
        </w:rPr>
        <w:tab/>
      </w:r>
      <w:r>
        <w:rPr>
          <w:rFonts w:cs="Arial"/>
          <w:color w:val="000000"/>
          <w:szCs w:val="24"/>
        </w:rPr>
        <w:tab/>
      </w:r>
      <w:r w:rsidRPr="00F720CB">
        <w:rPr>
          <w:rFonts w:cs="Arial"/>
          <w:color w:val="000000"/>
          <w:szCs w:val="24"/>
        </w:rPr>
        <w:t>Prof</w:t>
      </w:r>
      <w:r>
        <w:rPr>
          <w:rFonts w:cs="Arial"/>
          <w:color w:val="000000"/>
          <w:szCs w:val="24"/>
        </w:rPr>
        <w:t>essor</w:t>
      </w:r>
      <w:r w:rsidRPr="00F720CB">
        <w:rPr>
          <w:rFonts w:cs="Arial"/>
          <w:color w:val="000000"/>
          <w:szCs w:val="24"/>
        </w:rPr>
        <w:t xml:space="preserve"> Dr.</w:t>
      </w:r>
      <w:r>
        <w:rPr>
          <w:rFonts w:cs="Arial"/>
          <w:color w:val="000000"/>
          <w:szCs w:val="24"/>
        </w:rPr>
        <w:t xml:space="preserve"> J. Bauer</w:t>
      </w:r>
    </w:p>
    <w:p w14:paraId="2C1C54FA" w14:textId="77777777" w:rsidR="003D6C6A" w:rsidRDefault="003D6C6A" w:rsidP="003D6C6A">
      <w:pPr>
        <w:rPr>
          <w:b/>
          <w:sz w:val="28"/>
          <w:szCs w:val="28"/>
        </w:rPr>
      </w:pPr>
    </w:p>
    <w:p w14:paraId="55662DB6" w14:textId="77777777" w:rsidR="00600BBD" w:rsidRDefault="003D6C6A" w:rsidP="00C60555">
      <w:pPr>
        <w:rPr>
          <w:rFonts w:cs="Arial"/>
          <w:color w:val="000000"/>
          <w:szCs w:val="24"/>
        </w:rPr>
        <w:sectPr w:rsidR="00600BBD" w:rsidSect="00BB55EF">
          <w:footerReference w:type="default" r:id="rId8"/>
          <w:footerReference w:type="first" r:id="rId9"/>
          <w:pgSz w:w="11906" w:h="16838" w:code="9"/>
          <w:pgMar w:top="2336" w:right="926" w:bottom="1134" w:left="1418" w:header="709" w:footer="709" w:gutter="0"/>
          <w:cols w:space="708"/>
          <w:docGrid w:linePitch="360"/>
        </w:sectPr>
      </w:pPr>
      <w:r w:rsidRPr="00F720CB">
        <w:rPr>
          <w:rFonts w:cs="Arial"/>
          <w:color w:val="000000"/>
          <w:szCs w:val="24"/>
        </w:rPr>
        <w:t xml:space="preserve">Tag der Disputation: </w:t>
      </w:r>
      <w:r>
        <w:rPr>
          <w:rFonts w:cs="Arial"/>
          <w:color w:val="000000"/>
          <w:szCs w:val="24"/>
        </w:rPr>
        <w:t>25</w:t>
      </w:r>
      <w:r w:rsidRPr="00F720CB">
        <w:rPr>
          <w:rFonts w:cs="Arial"/>
          <w:color w:val="000000"/>
          <w:szCs w:val="24"/>
        </w:rPr>
        <w:t>.</w:t>
      </w:r>
      <w:r>
        <w:rPr>
          <w:rFonts w:cs="Arial"/>
          <w:color w:val="000000"/>
          <w:szCs w:val="24"/>
        </w:rPr>
        <w:t>07</w:t>
      </w:r>
      <w:r w:rsidRPr="00F720CB">
        <w:rPr>
          <w:rFonts w:cs="Arial"/>
          <w:color w:val="000000"/>
          <w:szCs w:val="24"/>
        </w:rPr>
        <w:t>.</w:t>
      </w:r>
      <w:r>
        <w:rPr>
          <w:rFonts w:cs="Arial"/>
          <w:color w:val="000000"/>
          <w:szCs w:val="24"/>
        </w:rPr>
        <w:t>2023</w:t>
      </w:r>
    </w:p>
    <w:p w14:paraId="3973A69E" w14:textId="2BDA1137" w:rsidR="00C85902" w:rsidRPr="003D6C6A" w:rsidRDefault="00C85902" w:rsidP="00C60555">
      <w:pPr>
        <w:rPr>
          <w:b/>
          <w:sz w:val="28"/>
          <w:szCs w:val="28"/>
        </w:rPr>
      </w:pPr>
      <w:r w:rsidRPr="00F720CB">
        <w:br w:type="page"/>
      </w:r>
    </w:p>
    <w:p w14:paraId="24CBC4E8" w14:textId="77777777" w:rsidR="00C85902" w:rsidRPr="00F720CB" w:rsidRDefault="00C85902" w:rsidP="003331F6">
      <w:pPr>
        <w:rPr>
          <w:rFonts w:cs="Arial"/>
          <w:color w:val="000000"/>
          <w:szCs w:val="24"/>
        </w:rPr>
        <w:sectPr w:rsidR="00C85902" w:rsidRPr="00F720CB" w:rsidSect="00BB55EF">
          <w:pgSz w:w="11906" w:h="16838" w:code="9"/>
          <w:pgMar w:top="2336" w:right="926" w:bottom="1134" w:left="1418" w:header="709" w:footer="709" w:gutter="0"/>
          <w:cols w:space="708"/>
          <w:docGrid w:linePitch="360"/>
        </w:sectPr>
      </w:pPr>
    </w:p>
    <w:sdt>
      <w:sdtPr>
        <w:rPr>
          <w:rFonts w:ascii="Arial" w:eastAsiaTheme="minorHAnsi" w:hAnsi="Arial" w:cstheme="minorBidi"/>
          <w:b w:val="0"/>
          <w:bCs w:val="0"/>
          <w:color w:val="auto"/>
          <w:sz w:val="24"/>
          <w:szCs w:val="22"/>
          <w:lang w:eastAsia="en-US"/>
        </w:rPr>
        <w:id w:val="-742952928"/>
        <w:docPartObj>
          <w:docPartGallery w:val="Table of Contents"/>
          <w:docPartUnique/>
        </w:docPartObj>
      </w:sdtPr>
      <w:sdtContent>
        <w:p w14:paraId="384DB307" w14:textId="77777777" w:rsidR="00C85902" w:rsidRPr="00F720CB" w:rsidRDefault="00C85902">
          <w:pPr>
            <w:pStyle w:val="Inhaltsverzeichnisberschrift"/>
            <w:rPr>
              <w:color w:val="auto"/>
            </w:rPr>
          </w:pPr>
          <w:r w:rsidRPr="00F720CB">
            <w:rPr>
              <w:color w:val="auto"/>
            </w:rPr>
            <w:t>Inhaltsverzeichnis</w:t>
          </w:r>
        </w:p>
        <w:p w14:paraId="653CEAE0" w14:textId="01ADD54D" w:rsidR="002F4DCE" w:rsidRDefault="00C85902">
          <w:pPr>
            <w:pStyle w:val="Verzeichnis1"/>
            <w:tabs>
              <w:tab w:val="right" w:leader="underscore" w:pos="8494"/>
            </w:tabs>
            <w:rPr>
              <w:rFonts w:asciiTheme="minorHAnsi" w:hAnsiTheme="minorHAnsi"/>
              <w:noProof/>
              <w:sz w:val="22"/>
            </w:rPr>
          </w:pPr>
          <w:r>
            <w:fldChar w:fldCharType="begin"/>
          </w:r>
          <w:r>
            <w:instrText xml:space="preserve"> TOC \o "1-3" \h \z \u </w:instrText>
          </w:r>
          <w:r>
            <w:fldChar w:fldCharType="separate"/>
          </w:r>
          <w:hyperlink w:anchor="_Toc121158633" w:history="1">
            <w:r w:rsidR="002F4DCE" w:rsidRPr="000655B4">
              <w:rPr>
                <w:rStyle w:val="Hyperlink"/>
                <w:noProof/>
              </w:rPr>
              <w:t>Tabellen- und Abbildungsverzeichnis</w:t>
            </w:r>
            <w:r w:rsidR="002F4DCE">
              <w:rPr>
                <w:noProof/>
                <w:webHidden/>
              </w:rPr>
              <w:tab/>
            </w:r>
            <w:r w:rsidR="002F4DCE">
              <w:rPr>
                <w:noProof/>
                <w:webHidden/>
              </w:rPr>
              <w:fldChar w:fldCharType="begin"/>
            </w:r>
            <w:r w:rsidR="002F4DCE">
              <w:rPr>
                <w:noProof/>
                <w:webHidden/>
              </w:rPr>
              <w:instrText xml:space="preserve"> PAGEREF _Toc121158633 \h </w:instrText>
            </w:r>
            <w:r w:rsidR="002F4DCE">
              <w:rPr>
                <w:noProof/>
                <w:webHidden/>
              </w:rPr>
            </w:r>
            <w:r w:rsidR="002F4DCE">
              <w:rPr>
                <w:noProof/>
                <w:webHidden/>
              </w:rPr>
              <w:fldChar w:fldCharType="separate"/>
            </w:r>
            <w:r w:rsidR="00600BBD">
              <w:rPr>
                <w:noProof/>
                <w:webHidden/>
              </w:rPr>
              <w:t>3</w:t>
            </w:r>
            <w:r w:rsidR="002F4DCE">
              <w:rPr>
                <w:noProof/>
                <w:webHidden/>
              </w:rPr>
              <w:fldChar w:fldCharType="end"/>
            </w:r>
          </w:hyperlink>
        </w:p>
        <w:p w14:paraId="6D0B8869" w14:textId="1D3EE465" w:rsidR="002F4DCE" w:rsidRDefault="00000000">
          <w:pPr>
            <w:pStyle w:val="Verzeichnis1"/>
            <w:tabs>
              <w:tab w:val="right" w:leader="underscore" w:pos="8494"/>
            </w:tabs>
            <w:rPr>
              <w:rFonts w:asciiTheme="minorHAnsi" w:hAnsiTheme="minorHAnsi"/>
              <w:noProof/>
              <w:sz w:val="22"/>
            </w:rPr>
          </w:pPr>
          <w:hyperlink w:anchor="_Toc121158634" w:history="1">
            <w:r w:rsidR="002F4DCE" w:rsidRPr="000655B4">
              <w:rPr>
                <w:rStyle w:val="Hyperlink"/>
                <w:noProof/>
              </w:rPr>
              <w:t>Abkürzungsverzeichnis</w:t>
            </w:r>
            <w:r w:rsidR="002F4DCE">
              <w:rPr>
                <w:noProof/>
                <w:webHidden/>
              </w:rPr>
              <w:tab/>
            </w:r>
            <w:r w:rsidR="002F4DCE">
              <w:rPr>
                <w:noProof/>
                <w:webHidden/>
              </w:rPr>
              <w:fldChar w:fldCharType="begin"/>
            </w:r>
            <w:r w:rsidR="002F4DCE">
              <w:rPr>
                <w:noProof/>
                <w:webHidden/>
              </w:rPr>
              <w:instrText xml:space="preserve"> PAGEREF _Toc121158634 \h </w:instrText>
            </w:r>
            <w:r w:rsidR="002F4DCE">
              <w:rPr>
                <w:noProof/>
                <w:webHidden/>
              </w:rPr>
            </w:r>
            <w:r w:rsidR="002F4DCE">
              <w:rPr>
                <w:noProof/>
                <w:webHidden/>
              </w:rPr>
              <w:fldChar w:fldCharType="separate"/>
            </w:r>
            <w:r w:rsidR="00600BBD">
              <w:rPr>
                <w:noProof/>
                <w:webHidden/>
              </w:rPr>
              <w:t>6</w:t>
            </w:r>
            <w:r w:rsidR="002F4DCE">
              <w:rPr>
                <w:noProof/>
                <w:webHidden/>
              </w:rPr>
              <w:fldChar w:fldCharType="end"/>
            </w:r>
          </w:hyperlink>
        </w:p>
        <w:p w14:paraId="6E7D19B4" w14:textId="1A743D9C" w:rsidR="002F4DCE" w:rsidRDefault="00000000">
          <w:pPr>
            <w:pStyle w:val="Verzeichnis1"/>
            <w:tabs>
              <w:tab w:val="left" w:pos="440"/>
              <w:tab w:val="right" w:leader="underscore" w:pos="8494"/>
            </w:tabs>
            <w:rPr>
              <w:rFonts w:asciiTheme="minorHAnsi" w:hAnsiTheme="minorHAnsi"/>
              <w:noProof/>
              <w:sz w:val="22"/>
            </w:rPr>
          </w:pPr>
          <w:hyperlink w:anchor="_Toc121158635" w:history="1">
            <w:r w:rsidR="002F4DCE" w:rsidRPr="000655B4">
              <w:rPr>
                <w:rStyle w:val="Hyperlink"/>
                <w:noProof/>
              </w:rPr>
              <w:t>1</w:t>
            </w:r>
            <w:r w:rsidR="002F4DCE">
              <w:rPr>
                <w:rFonts w:asciiTheme="minorHAnsi" w:hAnsiTheme="minorHAnsi"/>
                <w:noProof/>
                <w:sz w:val="22"/>
              </w:rPr>
              <w:tab/>
            </w:r>
            <w:r w:rsidR="002F4DCE" w:rsidRPr="000655B4">
              <w:rPr>
                <w:rStyle w:val="Hyperlink"/>
                <w:noProof/>
              </w:rPr>
              <w:t>Einleitung</w:t>
            </w:r>
            <w:r w:rsidR="002F4DCE">
              <w:rPr>
                <w:noProof/>
                <w:webHidden/>
              </w:rPr>
              <w:tab/>
            </w:r>
            <w:r w:rsidR="002F4DCE">
              <w:rPr>
                <w:noProof/>
                <w:webHidden/>
              </w:rPr>
              <w:fldChar w:fldCharType="begin"/>
            </w:r>
            <w:r w:rsidR="002F4DCE">
              <w:rPr>
                <w:noProof/>
                <w:webHidden/>
              </w:rPr>
              <w:instrText xml:space="preserve"> PAGEREF _Toc121158635 \h </w:instrText>
            </w:r>
            <w:r w:rsidR="002F4DCE">
              <w:rPr>
                <w:noProof/>
                <w:webHidden/>
              </w:rPr>
            </w:r>
            <w:r w:rsidR="002F4DCE">
              <w:rPr>
                <w:noProof/>
                <w:webHidden/>
              </w:rPr>
              <w:fldChar w:fldCharType="separate"/>
            </w:r>
            <w:r w:rsidR="00600BBD">
              <w:rPr>
                <w:noProof/>
                <w:webHidden/>
              </w:rPr>
              <w:t>7</w:t>
            </w:r>
            <w:r w:rsidR="002F4DCE">
              <w:rPr>
                <w:noProof/>
                <w:webHidden/>
              </w:rPr>
              <w:fldChar w:fldCharType="end"/>
            </w:r>
          </w:hyperlink>
        </w:p>
        <w:p w14:paraId="50500E71" w14:textId="6CB04E2F" w:rsidR="002F4DCE" w:rsidRDefault="00000000">
          <w:pPr>
            <w:pStyle w:val="Verzeichnis2"/>
            <w:tabs>
              <w:tab w:val="left" w:pos="880"/>
              <w:tab w:val="right" w:leader="underscore" w:pos="8494"/>
            </w:tabs>
            <w:rPr>
              <w:rFonts w:asciiTheme="minorHAnsi" w:hAnsiTheme="minorHAnsi"/>
              <w:noProof/>
              <w:sz w:val="22"/>
            </w:rPr>
          </w:pPr>
          <w:hyperlink w:anchor="_Toc121158636" w:history="1">
            <w:r w:rsidR="002F4DCE" w:rsidRPr="000655B4">
              <w:rPr>
                <w:rStyle w:val="Hyperlink"/>
                <w:noProof/>
              </w:rPr>
              <w:t>1.1</w:t>
            </w:r>
            <w:r w:rsidR="002F4DCE">
              <w:rPr>
                <w:rFonts w:asciiTheme="minorHAnsi" w:hAnsiTheme="minorHAnsi"/>
                <w:noProof/>
                <w:sz w:val="22"/>
              </w:rPr>
              <w:tab/>
            </w:r>
            <w:r w:rsidR="002F4DCE" w:rsidRPr="000655B4">
              <w:rPr>
                <w:rStyle w:val="Hyperlink"/>
                <w:noProof/>
              </w:rPr>
              <w:t>Klinische Relevanz und Behandlungsaspekte des Urothelkarzinoms</w:t>
            </w:r>
            <w:r w:rsidR="002F4DCE">
              <w:rPr>
                <w:noProof/>
                <w:webHidden/>
              </w:rPr>
              <w:tab/>
            </w:r>
            <w:r w:rsidR="002F4DCE">
              <w:rPr>
                <w:noProof/>
                <w:webHidden/>
              </w:rPr>
              <w:fldChar w:fldCharType="begin"/>
            </w:r>
            <w:r w:rsidR="002F4DCE">
              <w:rPr>
                <w:noProof/>
                <w:webHidden/>
              </w:rPr>
              <w:instrText xml:space="preserve"> PAGEREF _Toc121158636 \h </w:instrText>
            </w:r>
            <w:r w:rsidR="002F4DCE">
              <w:rPr>
                <w:noProof/>
                <w:webHidden/>
              </w:rPr>
            </w:r>
            <w:r w:rsidR="002F4DCE">
              <w:rPr>
                <w:noProof/>
                <w:webHidden/>
              </w:rPr>
              <w:fldChar w:fldCharType="separate"/>
            </w:r>
            <w:r w:rsidR="00600BBD">
              <w:rPr>
                <w:noProof/>
                <w:webHidden/>
              </w:rPr>
              <w:t>7</w:t>
            </w:r>
            <w:r w:rsidR="002F4DCE">
              <w:rPr>
                <w:noProof/>
                <w:webHidden/>
              </w:rPr>
              <w:fldChar w:fldCharType="end"/>
            </w:r>
          </w:hyperlink>
        </w:p>
        <w:p w14:paraId="2A46EF3A" w14:textId="1AD70BA2" w:rsidR="002F4DCE" w:rsidRDefault="00000000">
          <w:pPr>
            <w:pStyle w:val="Verzeichnis3"/>
            <w:tabs>
              <w:tab w:val="left" w:pos="1320"/>
              <w:tab w:val="right" w:leader="underscore" w:pos="8494"/>
            </w:tabs>
            <w:rPr>
              <w:rFonts w:asciiTheme="minorHAnsi" w:hAnsiTheme="minorHAnsi"/>
              <w:noProof/>
              <w:sz w:val="22"/>
            </w:rPr>
          </w:pPr>
          <w:hyperlink w:anchor="_Toc121158637" w:history="1">
            <w:r w:rsidR="002F4DCE" w:rsidRPr="000655B4">
              <w:rPr>
                <w:rStyle w:val="Hyperlink"/>
                <w:noProof/>
              </w:rPr>
              <w:t>1.1.1</w:t>
            </w:r>
            <w:r w:rsidR="002F4DCE">
              <w:rPr>
                <w:rFonts w:asciiTheme="minorHAnsi" w:hAnsiTheme="minorHAnsi"/>
                <w:noProof/>
                <w:sz w:val="22"/>
              </w:rPr>
              <w:tab/>
            </w:r>
            <w:r w:rsidR="002F4DCE" w:rsidRPr="000655B4">
              <w:rPr>
                <w:rStyle w:val="Hyperlink"/>
                <w:noProof/>
              </w:rPr>
              <w:t>Allgemeine Histologie und Eigenschaften des Urothels</w:t>
            </w:r>
            <w:r w:rsidR="002F4DCE">
              <w:rPr>
                <w:noProof/>
                <w:webHidden/>
              </w:rPr>
              <w:tab/>
            </w:r>
            <w:r w:rsidR="002F4DCE">
              <w:rPr>
                <w:noProof/>
                <w:webHidden/>
              </w:rPr>
              <w:fldChar w:fldCharType="begin"/>
            </w:r>
            <w:r w:rsidR="002F4DCE">
              <w:rPr>
                <w:noProof/>
                <w:webHidden/>
              </w:rPr>
              <w:instrText xml:space="preserve"> PAGEREF _Toc121158637 \h </w:instrText>
            </w:r>
            <w:r w:rsidR="002F4DCE">
              <w:rPr>
                <w:noProof/>
                <w:webHidden/>
              </w:rPr>
            </w:r>
            <w:r w:rsidR="002F4DCE">
              <w:rPr>
                <w:noProof/>
                <w:webHidden/>
              </w:rPr>
              <w:fldChar w:fldCharType="separate"/>
            </w:r>
            <w:r w:rsidR="00600BBD">
              <w:rPr>
                <w:noProof/>
                <w:webHidden/>
              </w:rPr>
              <w:t>8</w:t>
            </w:r>
            <w:r w:rsidR="002F4DCE">
              <w:rPr>
                <w:noProof/>
                <w:webHidden/>
              </w:rPr>
              <w:fldChar w:fldCharType="end"/>
            </w:r>
          </w:hyperlink>
        </w:p>
        <w:p w14:paraId="7E54464E" w14:textId="7FA93C8A" w:rsidR="002F4DCE" w:rsidRDefault="00000000">
          <w:pPr>
            <w:pStyle w:val="Verzeichnis3"/>
            <w:tabs>
              <w:tab w:val="left" w:pos="1320"/>
              <w:tab w:val="right" w:leader="underscore" w:pos="8494"/>
            </w:tabs>
            <w:rPr>
              <w:rFonts w:asciiTheme="minorHAnsi" w:hAnsiTheme="minorHAnsi"/>
              <w:noProof/>
              <w:sz w:val="22"/>
            </w:rPr>
          </w:pPr>
          <w:hyperlink w:anchor="_Toc121158638" w:history="1">
            <w:r w:rsidR="002F4DCE" w:rsidRPr="000655B4">
              <w:rPr>
                <w:rStyle w:val="Hyperlink"/>
                <w:noProof/>
              </w:rPr>
              <w:t>1.1.2</w:t>
            </w:r>
            <w:r w:rsidR="002F4DCE">
              <w:rPr>
                <w:rFonts w:asciiTheme="minorHAnsi" w:hAnsiTheme="minorHAnsi"/>
                <w:noProof/>
                <w:sz w:val="22"/>
              </w:rPr>
              <w:tab/>
            </w:r>
            <w:r w:rsidR="002F4DCE" w:rsidRPr="000655B4">
              <w:rPr>
                <w:rStyle w:val="Hyperlink"/>
                <w:noProof/>
              </w:rPr>
              <w:t>Eigenschaften, Epidemiologie und Risikofaktoren des Urothelkarzinoms</w:t>
            </w:r>
            <w:r w:rsidR="002F4DCE">
              <w:rPr>
                <w:noProof/>
                <w:webHidden/>
              </w:rPr>
              <w:tab/>
            </w:r>
            <w:r w:rsidR="002F4DCE">
              <w:rPr>
                <w:noProof/>
                <w:webHidden/>
              </w:rPr>
              <w:fldChar w:fldCharType="begin"/>
            </w:r>
            <w:r w:rsidR="002F4DCE">
              <w:rPr>
                <w:noProof/>
                <w:webHidden/>
              </w:rPr>
              <w:instrText xml:space="preserve"> PAGEREF _Toc121158638 \h </w:instrText>
            </w:r>
            <w:r w:rsidR="002F4DCE">
              <w:rPr>
                <w:noProof/>
                <w:webHidden/>
              </w:rPr>
            </w:r>
            <w:r w:rsidR="002F4DCE">
              <w:rPr>
                <w:noProof/>
                <w:webHidden/>
              </w:rPr>
              <w:fldChar w:fldCharType="separate"/>
            </w:r>
            <w:r w:rsidR="00600BBD">
              <w:rPr>
                <w:noProof/>
                <w:webHidden/>
              </w:rPr>
              <w:t>9</w:t>
            </w:r>
            <w:r w:rsidR="002F4DCE">
              <w:rPr>
                <w:noProof/>
                <w:webHidden/>
              </w:rPr>
              <w:fldChar w:fldCharType="end"/>
            </w:r>
          </w:hyperlink>
        </w:p>
        <w:p w14:paraId="021A0E0F" w14:textId="642E4B67" w:rsidR="002F4DCE" w:rsidRDefault="00000000">
          <w:pPr>
            <w:pStyle w:val="Verzeichnis3"/>
            <w:tabs>
              <w:tab w:val="left" w:pos="1320"/>
              <w:tab w:val="right" w:leader="underscore" w:pos="8494"/>
            </w:tabs>
            <w:rPr>
              <w:rFonts w:asciiTheme="minorHAnsi" w:hAnsiTheme="minorHAnsi"/>
              <w:noProof/>
              <w:sz w:val="22"/>
            </w:rPr>
          </w:pPr>
          <w:hyperlink w:anchor="_Toc121158639" w:history="1">
            <w:r w:rsidR="002F4DCE" w:rsidRPr="000655B4">
              <w:rPr>
                <w:rStyle w:val="Hyperlink"/>
                <w:noProof/>
              </w:rPr>
              <w:t>1.1.3</w:t>
            </w:r>
            <w:r w:rsidR="002F4DCE">
              <w:rPr>
                <w:rFonts w:asciiTheme="minorHAnsi" w:hAnsiTheme="minorHAnsi"/>
                <w:noProof/>
                <w:sz w:val="22"/>
              </w:rPr>
              <w:tab/>
            </w:r>
            <w:r w:rsidR="002F4DCE" w:rsidRPr="000655B4">
              <w:rPr>
                <w:rStyle w:val="Hyperlink"/>
                <w:noProof/>
              </w:rPr>
              <w:t>Diagnostik</w:t>
            </w:r>
            <w:r w:rsidR="002F4DCE">
              <w:rPr>
                <w:noProof/>
                <w:webHidden/>
              </w:rPr>
              <w:tab/>
            </w:r>
            <w:r w:rsidR="002F4DCE">
              <w:rPr>
                <w:noProof/>
                <w:webHidden/>
              </w:rPr>
              <w:fldChar w:fldCharType="begin"/>
            </w:r>
            <w:r w:rsidR="002F4DCE">
              <w:rPr>
                <w:noProof/>
                <w:webHidden/>
              </w:rPr>
              <w:instrText xml:space="preserve"> PAGEREF _Toc121158639 \h </w:instrText>
            </w:r>
            <w:r w:rsidR="002F4DCE">
              <w:rPr>
                <w:noProof/>
                <w:webHidden/>
              </w:rPr>
            </w:r>
            <w:r w:rsidR="002F4DCE">
              <w:rPr>
                <w:noProof/>
                <w:webHidden/>
              </w:rPr>
              <w:fldChar w:fldCharType="separate"/>
            </w:r>
            <w:r w:rsidR="00600BBD">
              <w:rPr>
                <w:noProof/>
                <w:webHidden/>
              </w:rPr>
              <w:t>11</w:t>
            </w:r>
            <w:r w:rsidR="002F4DCE">
              <w:rPr>
                <w:noProof/>
                <w:webHidden/>
              </w:rPr>
              <w:fldChar w:fldCharType="end"/>
            </w:r>
          </w:hyperlink>
        </w:p>
        <w:p w14:paraId="3C9A0255" w14:textId="75019A15" w:rsidR="002F4DCE" w:rsidRDefault="00000000">
          <w:pPr>
            <w:pStyle w:val="Verzeichnis3"/>
            <w:tabs>
              <w:tab w:val="left" w:pos="1320"/>
              <w:tab w:val="right" w:leader="underscore" w:pos="8494"/>
            </w:tabs>
            <w:rPr>
              <w:rFonts w:asciiTheme="minorHAnsi" w:hAnsiTheme="minorHAnsi"/>
              <w:noProof/>
              <w:sz w:val="22"/>
            </w:rPr>
          </w:pPr>
          <w:hyperlink w:anchor="_Toc121158640" w:history="1">
            <w:r w:rsidR="002F4DCE" w:rsidRPr="000655B4">
              <w:rPr>
                <w:rStyle w:val="Hyperlink"/>
                <w:noProof/>
              </w:rPr>
              <w:t>1.1.4</w:t>
            </w:r>
            <w:r w:rsidR="002F4DCE">
              <w:rPr>
                <w:rFonts w:asciiTheme="minorHAnsi" w:hAnsiTheme="minorHAnsi"/>
                <w:noProof/>
                <w:sz w:val="22"/>
              </w:rPr>
              <w:tab/>
            </w:r>
            <w:r w:rsidR="002F4DCE" w:rsidRPr="000655B4">
              <w:rPr>
                <w:rStyle w:val="Hyperlink"/>
                <w:noProof/>
              </w:rPr>
              <w:t>Klassifikation und Therapie von Blasenkarzinomen</w:t>
            </w:r>
            <w:r w:rsidR="002F4DCE">
              <w:rPr>
                <w:noProof/>
                <w:webHidden/>
              </w:rPr>
              <w:tab/>
            </w:r>
            <w:r w:rsidR="002F4DCE">
              <w:rPr>
                <w:noProof/>
                <w:webHidden/>
              </w:rPr>
              <w:fldChar w:fldCharType="begin"/>
            </w:r>
            <w:r w:rsidR="002F4DCE">
              <w:rPr>
                <w:noProof/>
                <w:webHidden/>
              </w:rPr>
              <w:instrText xml:space="preserve"> PAGEREF _Toc121158640 \h </w:instrText>
            </w:r>
            <w:r w:rsidR="002F4DCE">
              <w:rPr>
                <w:noProof/>
                <w:webHidden/>
              </w:rPr>
            </w:r>
            <w:r w:rsidR="002F4DCE">
              <w:rPr>
                <w:noProof/>
                <w:webHidden/>
              </w:rPr>
              <w:fldChar w:fldCharType="separate"/>
            </w:r>
            <w:r w:rsidR="00600BBD">
              <w:rPr>
                <w:noProof/>
                <w:webHidden/>
              </w:rPr>
              <w:t>13</w:t>
            </w:r>
            <w:r w:rsidR="002F4DCE">
              <w:rPr>
                <w:noProof/>
                <w:webHidden/>
              </w:rPr>
              <w:fldChar w:fldCharType="end"/>
            </w:r>
          </w:hyperlink>
        </w:p>
        <w:p w14:paraId="7B584926" w14:textId="454E9CA6" w:rsidR="002F4DCE" w:rsidRDefault="00000000">
          <w:pPr>
            <w:pStyle w:val="Verzeichnis3"/>
            <w:tabs>
              <w:tab w:val="left" w:pos="1320"/>
              <w:tab w:val="right" w:leader="underscore" w:pos="8494"/>
            </w:tabs>
            <w:rPr>
              <w:rFonts w:asciiTheme="minorHAnsi" w:hAnsiTheme="minorHAnsi"/>
              <w:noProof/>
              <w:sz w:val="22"/>
            </w:rPr>
          </w:pPr>
          <w:hyperlink w:anchor="_Toc121158641" w:history="1">
            <w:r w:rsidR="002F4DCE" w:rsidRPr="000655B4">
              <w:rPr>
                <w:rStyle w:val="Hyperlink"/>
                <w:noProof/>
              </w:rPr>
              <w:t>1.1.5</w:t>
            </w:r>
            <w:r w:rsidR="002F4DCE">
              <w:rPr>
                <w:rFonts w:asciiTheme="minorHAnsi" w:hAnsiTheme="minorHAnsi"/>
                <w:noProof/>
                <w:sz w:val="22"/>
              </w:rPr>
              <w:tab/>
            </w:r>
            <w:r w:rsidR="002F4DCE" w:rsidRPr="000655B4">
              <w:rPr>
                <w:rStyle w:val="Hyperlink"/>
                <w:noProof/>
              </w:rPr>
              <w:t>Wirtschaftlicher Aspekt bei Blasenkrebs</w:t>
            </w:r>
            <w:r w:rsidR="002F4DCE">
              <w:rPr>
                <w:noProof/>
                <w:webHidden/>
              </w:rPr>
              <w:tab/>
            </w:r>
            <w:r w:rsidR="002F4DCE">
              <w:rPr>
                <w:noProof/>
                <w:webHidden/>
              </w:rPr>
              <w:fldChar w:fldCharType="begin"/>
            </w:r>
            <w:r w:rsidR="002F4DCE">
              <w:rPr>
                <w:noProof/>
                <w:webHidden/>
              </w:rPr>
              <w:instrText xml:space="preserve"> PAGEREF _Toc121158641 \h </w:instrText>
            </w:r>
            <w:r w:rsidR="002F4DCE">
              <w:rPr>
                <w:noProof/>
                <w:webHidden/>
              </w:rPr>
            </w:r>
            <w:r w:rsidR="002F4DCE">
              <w:rPr>
                <w:noProof/>
                <w:webHidden/>
              </w:rPr>
              <w:fldChar w:fldCharType="separate"/>
            </w:r>
            <w:r w:rsidR="00600BBD">
              <w:rPr>
                <w:noProof/>
                <w:webHidden/>
              </w:rPr>
              <w:t>18</w:t>
            </w:r>
            <w:r w:rsidR="002F4DCE">
              <w:rPr>
                <w:noProof/>
                <w:webHidden/>
              </w:rPr>
              <w:fldChar w:fldCharType="end"/>
            </w:r>
          </w:hyperlink>
        </w:p>
        <w:p w14:paraId="04FB3896" w14:textId="6B837160" w:rsidR="002F4DCE" w:rsidRDefault="00000000">
          <w:pPr>
            <w:pStyle w:val="Verzeichnis2"/>
            <w:tabs>
              <w:tab w:val="left" w:pos="880"/>
              <w:tab w:val="right" w:leader="underscore" w:pos="8494"/>
            </w:tabs>
            <w:rPr>
              <w:rFonts w:asciiTheme="minorHAnsi" w:hAnsiTheme="minorHAnsi"/>
              <w:noProof/>
              <w:sz w:val="22"/>
            </w:rPr>
          </w:pPr>
          <w:hyperlink w:anchor="_Toc121158642" w:history="1">
            <w:r w:rsidR="002F4DCE" w:rsidRPr="000655B4">
              <w:rPr>
                <w:rStyle w:val="Hyperlink"/>
                <w:noProof/>
              </w:rPr>
              <w:t>1.2</w:t>
            </w:r>
            <w:r w:rsidR="002F4DCE">
              <w:rPr>
                <w:rFonts w:asciiTheme="minorHAnsi" w:hAnsiTheme="minorHAnsi"/>
                <w:noProof/>
                <w:sz w:val="22"/>
              </w:rPr>
              <w:tab/>
            </w:r>
            <w:r w:rsidR="002F4DCE" w:rsidRPr="000655B4">
              <w:rPr>
                <w:rStyle w:val="Hyperlink"/>
                <w:noProof/>
              </w:rPr>
              <w:t>Expression von CD276 und anderen Tumormarkern bei Blasenkarzinom und molekulare Regulationsmechanismen</w:t>
            </w:r>
            <w:r w:rsidR="002F4DCE">
              <w:rPr>
                <w:noProof/>
                <w:webHidden/>
              </w:rPr>
              <w:tab/>
            </w:r>
            <w:r w:rsidR="002F4DCE">
              <w:rPr>
                <w:noProof/>
                <w:webHidden/>
              </w:rPr>
              <w:fldChar w:fldCharType="begin"/>
            </w:r>
            <w:r w:rsidR="002F4DCE">
              <w:rPr>
                <w:noProof/>
                <w:webHidden/>
              </w:rPr>
              <w:instrText xml:space="preserve"> PAGEREF _Toc121158642 \h </w:instrText>
            </w:r>
            <w:r w:rsidR="002F4DCE">
              <w:rPr>
                <w:noProof/>
                <w:webHidden/>
              </w:rPr>
            </w:r>
            <w:r w:rsidR="002F4DCE">
              <w:rPr>
                <w:noProof/>
                <w:webHidden/>
              </w:rPr>
              <w:fldChar w:fldCharType="separate"/>
            </w:r>
            <w:r w:rsidR="00600BBD">
              <w:rPr>
                <w:noProof/>
                <w:webHidden/>
              </w:rPr>
              <w:t>19</w:t>
            </w:r>
            <w:r w:rsidR="002F4DCE">
              <w:rPr>
                <w:noProof/>
                <w:webHidden/>
              </w:rPr>
              <w:fldChar w:fldCharType="end"/>
            </w:r>
          </w:hyperlink>
        </w:p>
        <w:p w14:paraId="34B676AF" w14:textId="461C5A9E" w:rsidR="002F4DCE" w:rsidRDefault="00000000">
          <w:pPr>
            <w:pStyle w:val="Verzeichnis3"/>
            <w:tabs>
              <w:tab w:val="left" w:pos="1320"/>
              <w:tab w:val="right" w:leader="underscore" w:pos="8494"/>
            </w:tabs>
            <w:rPr>
              <w:rFonts w:asciiTheme="minorHAnsi" w:hAnsiTheme="minorHAnsi"/>
              <w:noProof/>
              <w:sz w:val="22"/>
            </w:rPr>
          </w:pPr>
          <w:hyperlink w:anchor="_Toc121158643" w:history="1">
            <w:r w:rsidR="002F4DCE" w:rsidRPr="000655B4">
              <w:rPr>
                <w:rStyle w:val="Hyperlink"/>
                <w:noProof/>
              </w:rPr>
              <w:t>1.2.1</w:t>
            </w:r>
            <w:r w:rsidR="002F4DCE">
              <w:rPr>
                <w:rFonts w:asciiTheme="minorHAnsi" w:hAnsiTheme="minorHAnsi"/>
                <w:noProof/>
                <w:sz w:val="22"/>
              </w:rPr>
              <w:tab/>
            </w:r>
            <w:r w:rsidR="002F4DCE" w:rsidRPr="000655B4">
              <w:rPr>
                <w:rStyle w:val="Hyperlink"/>
                <w:noProof/>
              </w:rPr>
              <w:t>Tumortherapie allgemein und Grundlagen der Immunantwort</w:t>
            </w:r>
            <w:r w:rsidR="002F4DCE">
              <w:rPr>
                <w:noProof/>
                <w:webHidden/>
              </w:rPr>
              <w:tab/>
            </w:r>
            <w:r w:rsidR="002F4DCE">
              <w:rPr>
                <w:noProof/>
                <w:webHidden/>
              </w:rPr>
              <w:fldChar w:fldCharType="begin"/>
            </w:r>
            <w:r w:rsidR="002F4DCE">
              <w:rPr>
                <w:noProof/>
                <w:webHidden/>
              </w:rPr>
              <w:instrText xml:space="preserve"> PAGEREF _Toc121158643 \h </w:instrText>
            </w:r>
            <w:r w:rsidR="002F4DCE">
              <w:rPr>
                <w:noProof/>
                <w:webHidden/>
              </w:rPr>
            </w:r>
            <w:r w:rsidR="002F4DCE">
              <w:rPr>
                <w:noProof/>
                <w:webHidden/>
              </w:rPr>
              <w:fldChar w:fldCharType="separate"/>
            </w:r>
            <w:r w:rsidR="00600BBD">
              <w:rPr>
                <w:noProof/>
                <w:webHidden/>
              </w:rPr>
              <w:t>19</w:t>
            </w:r>
            <w:r w:rsidR="002F4DCE">
              <w:rPr>
                <w:noProof/>
                <w:webHidden/>
              </w:rPr>
              <w:fldChar w:fldCharType="end"/>
            </w:r>
          </w:hyperlink>
        </w:p>
        <w:p w14:paraId="56F3E726" w14:textId="06A06DBD" w:rsidR="002F4DCE" w:rsidRDefault="00000000">
          <w:pPr>
            <w:pStyle w:val="Verzeichnis3"/>
            <w:tabs>
              <w:tab w:val="left" w:pos="1320"/>
              <w:tab w:val="right" w:leader="underscore" w:pos="8494"/>
            </w:tabs>
            <w:rPr>
              <w:rFonts w:asciiTheme="minorHAnsi" w:hAnsiTheme="minorHAnsi"/>
              <w:noProof/>
              <w:sz w:val="22"/>
            </w:rPr>
          </w:pPr>
          <w:hyperlink w:anchor="_Toc121158644" w:history="1">
            <w:r w:rsidR="002F4DCE" w:rsidRPr="000655B4">
              <w:rPr>
                <w:rStyle w:val="Hyperlink"/>
                <w:noProof/>
              </w:rPr>
              <w:t>1.2.2</w:t>
            </w:r>
            <w:r w:rsidR="002F4DCE">
              <w:rPr>
                <w:rFonts w:asciiTheme="minorHAnsi" w:hAnsiTheme="minorHAnsi"/>
                <w:noProof/>
                <w:sz w:val="22"/>
              </w:rPr>
              <w:tab/>
            </w:r>
            <w:r w:rsidR="002F4DCE" w:rsidRPr="000655B4">
              <w:rPr>
                <w:rStyle w:val="Hyperlink"/>
                <w:noProof/>
              </w:rPr>
              <w:t>Klinische Relevanz</w:t>
            </w:r>
            <w:r w:rsidR="002F4DCE">
              <w:rPr>
                <w:noProof/>
                <w:webHidden/>
              </w:rPr>
              <w:tab/>
            </w:r>
            <w:r w:rsidR="002F4DCE">
              <w:rPr>
                <w:noProof/>
                <w:webHidden/>
              </w:rPr>
              <w:fldChar w:fldCharType="begin"/>
            </w:r>
            <w:r w:rsidR="002F4DCE">
              <w:rPr>
                <w:noProof/>
                <w:webHidden/>
              </w:rPr>
              <w:instrText xml:space="preserve"> PAGEREF _Toc121158644 \h </w:instrText>
            </w:r>
            <w:r w:rsidR="002F4DCE">
              <w:rPr>
                <w:noProof/>
                <w:webHidden/>
              </w:rPr>
            </w:r>
            <w:r w:rsidR="002F4DCE">
              <w:rPr>
                <w:noProof/>
                <w:webHidden/>
              </w:rPr>
              <w:fldChar w:fldCharType="separate"/>
            </w:r>
            <w:r w:rsidR="00600BBD">
              <w:rPr>
                <w:noProof/>
                <w:webHidden/>
              </w:rPr>
              <w:t>23</w:t>
            </w:r>
            <w:r w:rsidR="002F4DCE">
              <w:rPr>
                <w:noProof/>
                <w:webHidden/>
              </w:rPr>
              <w:fldChar w:fldCharType="end"/>
            </w:r>
          </w:hyperlink>
        </w:p>
        <w:p w14:paraId="65F772E5" w14:textId="06407F6B" w:rsidR="002F4DCE" w:rsidRDefault="00000000">
          <w:pPr>
            <w:pStyle w:val="Verzeichnis2"/>
            <w:tabs>
              <w:tab w:val="left" w:pos="880"/>
              <w:tab w:val="right" w:leader="underscore" w:pos="8494"/>
            </w:tabs>
            <w:rPr>
              <w:rFonts w:asciiTheme="minorHAnsi" w:hAnsiTheme="minorHAnsi"/>
              <w:noProof/>
              <w:sz w:val="22"/>
            </w:rPr>
          </w:pPr>
          <w:hyperlink w:anchor="_Toc121158645" w:history="1">
            <w:r w:rsidR="002F4DCE" w:rsidRPr="000655B4">
              <w:rPr>
                <w:rStyle w:val="Hyperlink"/>
                <w:noProof/>
              </w:rPr>
              <w:t>1.3</w:t>
            </w:r>
            <w:r w:rsidR="002F4DCE">
              <w:rPr>
                <w:rFonts w:asciiTheme="minorHAnsi" w:hAnsiTheme="minorHAnsi"/>
                <w:noProof/>
                <w:sz w:val="22"/>
              </w:rPr>
              <w:tab/>
            </w:r>
            <w:r w:rsidR="002F4DCE" w:rsidRPr="000655B4">
              <w:rPr>
                <w:rStyle w:val="Hyperlink"/>
                <w:noProof/>
              </w:rPr>
              <w:t>Eigenschaften von Mykoplasmen sowie Nachweis und Therapie</w:t>
            </w:r>
            <w:r w:rsidR="002F4DCE">
              <w:rPr>
                <w:noProof/>
                <w:webHidden/>
              </w:rPr>
              <w:tab/>
            </w:r>
            <w:r w:rsidR="002F4DCE">
              <w:rPr>
                <w:noProof/>
                <w:webHidden/>
              </w:rPr>
              <w:fldChar w:fldCharType="begin"/>
            </w:r>
            <w:r w:rsidR="002F4DCE">
              <w:rPr>
                <w:noProof/>
                <w:webHidden/>
              </w:rPr>
              <w:instrText xml:space="preserve"> PAGEREF _Toc121158645 \h </w:instrText>
            </w:r>
            <w:r w:rsidR="002F4DCE">
              <w:rPr>
                <w:noProof/>
                <w:webHidden/>
              </w:rPr>
            </w:r>
            <w:r w:rsidR="002F4DCE">
              <w:rPr>
                <w:noProof/>
                <w:webHidden/>
              </w:rPr>
              <w:fldChar w:fldCharType="separate"/>
            </w:r>
            <w:r w:rsidR="00600BBD">
              <w:rPr>
                <w:noProof/>
                <w:webHidden/>
              </w:rPr>
              <w:t>25</w:t>
            </w:r>
            <w:r w:rsidR="002F4DCE">
              <w:rPr>
                <w:noProof/>
                <w:webHidden/>
              </w:rPr>
              <w:fldChar w:fldCharType="end"/>
            </w:r>
          </w:hyperlink>
        </w:p>
        <w:p w14:paraId="60FFB014" w14:textId="7FB98C6C" w:rsidR="002F4DCE" w:rsidRDefault="00000000">
          <w:pPr>
            <w:pStyle w:val="Verzeichnis3"/>
            <w:tabs>
              <w:tab w:val="left" w:pos="1320"/>
              <w:tab w:val="right" w:leader="underscore" w:pos="8494"/>
            </w:tabs>
            <w:rPr>
              <w:rFonts w:asciiTheme="minorHAnsi" w:hAnsiTheme="minorHAnsi"/>
              <w:noProof/>
              <w:sz w:val="22"/>
            </w:rPr>
          </w:pPr>
          <w:hyperlink w:anchor="_Toc121158646" w:history="1">
            <w:r w:rsidR="002F4DCE" w:rsidRPr="000655B4">
              <w:rPr>
                <w:rStyle w:val="Hyperlink"/>
                <w:noProof/>
              </w:rPr>
              <w:t>1.3.1</w:t>
            </w:r>
            <w:r w:rsidR="002F4DCE">
              <w:rPr>
                <w:rFonts w:asciiTheme="minorHAnsi" w:hAnsiTheme="minorHAnsi"/>
                <w:noProof/>
                <w:sz w:val="22"/>
              </w:rPr>
              <w:tab/>
            </w:r>
            <w:r w:rsidR="002F4DCE" w:rsidRPr="000655B4">
              <w:rPr>
                <w:rStyle w:val="Hyperlink"/>
                <w:noProof/>
              </w:rPr>
              <w:t>Eigenschaften und Nachweis</w:t>
            </w:r>
            <w:r w:rsidR="002F4DCE">
              <w:rPr>
                <w:noProof/>
                <w:webHidden/>
              </w:rPr>
              <w:tab/>
            </w:r>
            <w:r w:rsidR="002F4DCE">
              <w:rPr>
                <w:noProof/>
                <w:webHidden/>
              </w:rPr>
              <w:fldChar w:fldCharType="begin"/>
            </w:r>
            <w:r w:rsidR="002F4DCE">
              <w:rPr>
                <w:noProof/>
                <w:webHidden/>
              </w:rPr>
              <w:instrText xml:space="preserve"> PAGEREF _Toc121158646 \h </w:instrText>
            </w:r>
            <w:r w:rsidR="002F4DCE">
              <w:rPr>
                <w:noProof/>
                <w:webHidden/>
              </w:rPr>
            </w:r>
            <w:r w:rsidR="002F4DCE">
              <w:rPr>
                <w:noProof/>
                <w:webHidden/>
              </w:rPr>
              <w:fldChar w:fldCharType="separate"/>
            </w:r>
            <w:r w:rsidR="00600BBD">
              <w:rPr>
                <w:noProof/>
                <w:webHidden/>
              </w:rPr>
              <w:t>25</w:t>
            </w:r>
            <w:r w:rsidR="002F4DCE">
              <w:rPr>
                <w:noProof/>
                <w:webHidden/>
              </w:rPr>
              <w:fldChar w:fldCharType="end"/>
            </w:r>
          </w:hyperlink>
        </w:p>
        <w:p w14:paraId="4C12D6E4" w14:textId="03B98E0F" w:rsidR="002F4DCE" w:rsidRDefault="00000000">
          <w:pPr>
            <w:pStyle w:val="Verzeichnis3"/>
            <w:tabs>
              <w:tab w:val="left" w:pos="1320"/>
              <w:tab w:val="right" w:leader="underscore" w:pos="8494"/>
            </w:tabs>
            <w:rPr>
              <w:rFonts w:asciiTheme="minorHAnsi" w:hAnsiTheme="minorHAnsi"/>
              <w:noProof/>
              <w:sz w:val="22"/>
            </w:rPr>
          </w:pPr>
          <w:hyperlink w:anchor="_Toc121158647" w:history="1">
            <w:r w:rsidR="002F4DCE" w:rsidRPr="000655B4">
              <w:rPr>
                <w:rStyle w:val="Hyperlink"/>
                <w:noProof/>
              </w:rPr>
              <w:t>1.3.2</w:t>
            </w:r>
            <w:r w:rsidR="002F4DCE">
              <w:rPr>
                <w:rFonts w:asciiTheme="minorHAnsi" w:hAnsiTheme="minorHAnsi"/>
                <w:noProof/>
                <w:sz w:val="22"/>
              </w:rPr>
              <w:tab/>
            </w:r>
            <w:r w:rsidR="002F4DCE" w:rsidRPr="000655B4">
              <w:rPr>
                <w:rStyle w:val="Hyperlink"/>
                <w:noProof/>
              </w:rPr>
              <w:t>Screening und Therapie von Mykoplasmeninfektionen</w:t>
            </w:r>
            <w:r w:rsidR="002F4DCE">
              <w:rPr>
                <w:noProof/>
                <w:webHidden/>
              </w:rPr>
              <w:tab/>
            </w:r>
            <w:r w:rsidR="002F4DCE">
              <w:rPr>
                <w:noProof/>
                <w:webHidden/>
              </w:rPr>
              <w:fldChar w:fldCharType="begin"/>
            </w:r>
            <w:r w:rsidR="002F4DCE">
              <w:rPr>
                <w:noProof/>
                <w:webHidden/>
              </w:rPr>
              <w:instrText xml:space="preserve"> PAGEREF _Toc121158647 \h </w:instrText>
            </w:r>
            <w:r w:rsidR="002F4DCE">
              <w:rPr>
                <w:noProof/>
                <w:webHidden/>
              </w:rPr>
            </w:r>
            <w:r w:rsidR="002F4DCE">
              <w:rPr>
                <w:noProof/>
                <w:webHidden/>
              </w:rPr>
              <w:fldChar w:fldCharType="separate"/>
            </w:r>
            <w:r w:rsidR="00600BBD">
              <w:rPr>
                <w:noProof/>
                <w:webHidden/>
              </w:rPr>
              <w:t>27</w:t>
            </w:r>
            <w:r w:rsidR="002F4DCE">
              <w:rPr>
                <w:noProof/>
                <w:webHidden/>
              </w:rPr>
              <w:fldChar w:fldCharType="end"/>
            </w:r>
          </w:hyperlink>
        </w:p>
        <w:p w14:paraId="09CACAB0" w14:textId="026FF087" w:rsidR="002F4DCE" w:rsidRDefault="00000000">
          <w:pPr>
            <w:pStyle w:val="Verzeichnis3"/>
            <w:tabs>
              <w:tab w:val="left" w:pos="1320"/>
              <w:tab w:val="right" w:leader="underscore" w:pos="8494"/>
            </w:tabs>
            <w:rPr>
              <w:rFonts w:asciiTheme="minorHAnsi" w:hAnsiTheme="minorHAnsi"/>
              <w:noProof/>
              <w:sz w:val="22"/>
            </w:rPr>
          </w:pPr>
          <w:hyperlink w:anchor="_Toc121158648" w:history="1">
            <w:r w:rsidR="002F4DCE" w:rsidRPr="000655B4">
              <w:rPr>
                <w:rStyle w:val="Hyperlink"/>
                <w:noProof/>
              </w:rPr>
              <w:t>1.3.3</w:t>
            </w:r>
            <w:r w:rsidR="002F4DCE">
              <w:rPr>
                <w:rFonts w:asciiTheme="minorHAnsi" w:hAnsiTheme="minorHAnsi"/>
                <w:noProof/>
                <w:sz w:val="22"/>
              </w:rPr>
              <w:tab/>
            </w:r>
            <w:r w:rsidR="002F4DCE" w:rsidRPr="000655B4">
              <w:rPr>
                <w:rStyle w:val="Hyperlink"/>
                <w:noProof/>
              </w:rPr>
              <w:t>Klinische Relevanz von Langzeit Infektionen mit Mykoplasmen</w:t>
            </w:r>
            <w:r w:rsidR="002F4DCE">
              <w:rPr>
                <w:noProof/>
                <w:webHidden/>
              </w:rPr>
              <w:tab/>
            </w:r>
            <w:r w:rsidR="002F4DCE">
              <w:rPr>
                <w:noProof/>
                <w:webHidden/>
              </w:rPr>
              <w:fldChar w:fldCharType="begin"/>
            </w:r>
            <w:r w:rsidR="002F4DCE">
              <w:rPr>
                <w:noProof/>
                <w:webHidden/>
              </w:rPr>
              <w:instrText xml:space="preserve"> PAGEREF _Toc121158648 \h </w:instrText>
            </w:r>
            <w:r w:rsidR="002F4DCE">
              <w:rPr>
                <w:noProof/>
                <w:webHidden/>
              </w:rPr>
            </w:r>
            <w:r w:rsidR="002F4DCE">
              <w:rPr>
                <w:noProof/>
                <w:webHidden/>
              </w:rPr>
              <w:fldChar w:fldCharType="separate"/>
            </w:r>
            <w:r w:rsidR="00600BBD">
              <w:rPr>
                <w:noProof/>
                <w:webHidden/>
              </w:rPr>
              <w:t>27</w:t>
            </w:r>
            <w:r w:rsidR="002F4DCE">
              <w:rPr>
                <w:noProof/>
                <w:webHidden/>
              </w:rPr>
              <w:fldChar w:fldCharType="end"/>
            </w:r>
          </w:hyperlink>
        </w:p>
        <w:p w14:paraId="43CE7DF5" w14:textId="74FDAE53" w:rsidR="002F4DCE" w:rsidRDefault="00000000">
          <w:pPr>
            <w:pStyle w:val="Verzeichnis2"/>
            <w:tabs>
              <w:tab w:val="left" w:pos="880"/>
              <w:tab w:val="right" w:leader="underscore" w:pos="8494"/>
            </w:tabs>
            <w:rPr>
              <w:rFonts w:asciiTheme="minorHAnsi" w:hAnsiTheme="minorHAnsi"/>
              <w:noProof/>
              <w:sz w:val="22"/>
            </w:rPr>
          </w:pPr>
          <w:hyperlink w:anchor="_Toc121158649" w:history="1">
            <w:r w:rsidR="002F4DCE" w:rsidRPr="000655B4">
              <w:rPr>
                <w:rStyle w:val="Hyperlink"/>
                <w:noProof/>
              </w:rPr>
              <w:t>1.4</w:t>
            </w:r>
            <w:r w:rsidR="002F4DCE">
              <w:rPr>
                <w:rFonts w:asciiTheme="minorHAnsi" w:hAnsiTheme="minorHAnsi"/>
                <w:noProof/>
                <w:sz w:val="22"/>
              </w:rPr>
              <w:tab/>
            </w:r>
            <w:r w:rsidR="002F4DCE" w:rsidRPr="000655B4">
              <w:rPr>
                <w:rStyle w:val="Hyperlink"/>
                <w:noProof/>
              </w:rPr>
              <w:t>Ziel der Arbeit</w:t>
            </w:r>
            <w:r w:rsidR="002F4DCE">
              <w:rPr>
                <w:noProof/>
                <w:webHidden/>
              </w:rPr>
              <w:tab/>
            </w:r>
            <w:r w:rsidR="002F4DCE">
              <w:rPr>
                <w:noProof/>
                <w:webHidden/>
              </w:rPr>
              <w:fldChar w:fldCharType="begin"/>
            </w:r>
            <w:r w:rsidR="002F4DCE">
              <w:rPr>
                <w:noProof/>
                <w:webHidden/>
              </w:rPr>
              <w:instrText xml:space="preserve"> PAGEREF _Toc121158649 \h </w:instrText>
            </w:r>
            <w:r w:rsidR="002F4DCE">
              <w:rPr>
                <w:noProof/>
                <w:webHidden/>
              </w:rPr>
            </w:r>
            <w:r w:rsidR="002F4DCE">
              <w:rPr>
                <w:noProof/>
                <w:webHidden/>
              </w:rPr>
              <w:fldChar w:fldCharType="separate"/>
            </w:r>
            <w:r w:rsidR="00600BBD">
              <w:rPr>
                <w:noProof/>
                <w:webHidden/>
              </w:rPr>
              <w:t>29</w:t>
            </w:r>
            <w:r w:rsidR="002F4DCE">
              <w:rPr>
                <w:noProof/>
                <w:webHidden/>
              </w:rPr>
              <w:fldChar w:fldCharType="end"/>
            </w:r>
          </w:hyperlink>
        </w:p>
        <w:p w14:paraId="63C2E66F" w14:textId="2F07E504" w:rsidR="002F4DCE" w:rsidRDefault="00000000">
          <w:pPr>
            <w:pStyle w:val="Verzeichnis1"/>
            <w:tabs>
              <w:tab w:val="left" w:pos="440"/>
              <w:tab w:val="right" w:leader="underscore" w:pos="8494"/>
            </w:tabs>
            <w:rPr>
              <w:rFonts w:asciiTheme="minorHAnsi" w:hAnsiTheme="minorHAnsi"/>
              <w:noProof/>
              <w:sz w:val="22"/>
            </w:rPr>
          </w:pPr>
          <w:hyperlink w:anchor="_Toc121158650" w:history="1">
            <w:r w:rsidR="002F4DCE" w:rsidRPr="000655B4">
              <w:rPr>
                <w:rStyle w:val="Hyperlink"/>
                <w:noProof/>
              </w:rPr>
              <w:t>2</w:t>
            </w:r>
            <w:r w:rsidR="002F4DCE">
              <w:rPr>
                <w:rFonts w:asciiTheme="minorHAnsi" w:hAnsiTheme="minorHAnsi"/>
                <w:noProof/>
                <w:sz w:val="22"/>
              </w:rPr>
              <w:tab/>
            </w:r>
            <w:r w:rsidR="002F4DCE" w:rsidRPr="000655B4">
              <w:rPr>
                <w:rStyle w:val="Hyperlink"/>
                <w:noProof/>
              </w:rPr>
              <w:t>Material und Methoden</w:t>
            </w:r>
            <w:r w:rsidR="002F4DCE">
              <w:rPr>
                <w:noProof/>
                <w:webHidden/>
              </w:rPr>
              <w:tab/>
            </w:r>
            <w:r w:rsidR="002F4DCE">
              <w:rPr>
                <w:noProof/>
                <w:webHidden/>
              </w:rPr>
              <w:fldChar w:fldCharType="begin"/>
            </w:r>
            <w:r w:rsidR="002F4DCE">
              <w:rPr>
                <w:noProof/>
                <w:webHidden/>
              </w:rPr>
              <w:instrText xml:space="preserve"> PAGEREF _Toc121158650 \h </w:instrText>
            </w:r>
            <w:r w:rsidR="002F4DCE">
              <w:rPr>
                <w:noProof/>
                <w:webHidden/>
              </w:rPr>
            </w:r>
            <w:r w:rsidR="002F4DCE">
              <w:rPr>
                <w:noProof/>
                <w:webHidden/>
              </w:rPr>
              <w:fldChar w:fldCharType="separate"/>
            </w:r>
            <w:r w:rsidR="00600BBD">
              <w:rPr>
                <w:noProof/>
                <w:webHidden/>
              </w:rPr>
              <w:t>30</w:t>
            </w:r>
            <w:r w:rsidR="002F4DCE">
              <w:rPr>
                <w:noProof/>
                <w:webHidden/>
              </w:rPr>
              <w:fldChar w:fldCharType="end"/>
            </w:r>
          </w:hyperlink>
        </w:p>
        <w:p w14:paraId="470F26A3" w14:textId="06992DBB" w:rsidR="002F4DCE" w:rsidRDefault="00000000">
          <w:pPr>
            <w:pStyle w:val="Verzeichnis2"/>
            <w:tabs>
              <w:tab w:val="left" w:pos="880"/>
              <w:tab w:val="right" w:leader="underscore" w:pos="8494"/>
            </w:tabs>
            <w:rPr>
              <w:rFonts w:asciiTheme="minorHAnsi" w:hAnsiTheme="minorHAnsi"/>
              <w:noProof/>
              <w:sz w:val="22"/>
            </w:rPr>
          </w:pPr>
          <w:hyperlink w:anchor="_Toc121158651" w:history="1">
            <w:r w:rsidR="002F4DCE" w:rsidRPr="000655B4">
              <w:rPr>
                <w:rStyle w:val="Hyperlink"/>
                <w:noProof/>
              </w:rPr>
              <w:t>2.1</w:t>
            </w:r>
            <w:r w:rsidR="002F4DCE">
              <w:rPr>
                <w:rFonts w:asciiTheme="minorHAnsi" w:hAnsiTheme="minorHAnsi"/>
                <w:noProof/>
                <w:sz w:val="22"/>
              </w:rPr>
              <w:tab/>
            </w:r>
            <w:r w:rsidR="002F4DCE" w:rsidRPr="000655B4">
              <w:rPr>
                <w:rStyle w:val="Hyperlink"/>
                <w:noProof/>
              </w:rPr>
              <w:t>Geräte und Materialien</w:t>
            </w:r>
            <w:r w:rsidR="002F4DCE">
              <w:rPr>
                <w:noProof/>
                <w:webHidden/>
              </w:rPr>
              <w:tab/>
            </w:r>
            <w:r w:rsidR="002F4DCE">
              <w:rPr>
                <w:noProof/>
                <w:webHidden/>
              </w:rPr>
              <w:fldChar w:fldCharType="begin"/>
            </w:r>
            <w:r w:rsidR="002F4DCE">
              <w:rPr>
                <w:noProof/>
                <w:webHidden/>
              </w:rPr>
              <w:instrText xml:space="preserve"> PAGEREF _Toc121158651 \h </w:instrText>
            </w:r>
            <w:r w:rsidR="002F4DCE">
              <w:rPr>
                <w:noProof/>
                <w:webHidden/>
              </w:rPr>
            </w:r>
            <w:r w:rsidR="002F4DCE">
              <w:rPr>
                <w:noProof/>
                <w:webHidden/>
              </w:rPr>
              <w:fldChar w:fldCharType="separate"/>
            </w:r>
            <w:r w:rsidR="00600BBD">
              <w:rPr>
                <w:noProof/>
                <w:webHidden/>
              </w:rPr>
              <w:t>30</w:t>
            </w:r>
            <w:r w:rsidR="002F4DCE">
              <w:rPr>
                <w:noProof/>
                <w:webHidden/>
              </w:rPr>
              <w:fldChar w:fldCharType="end"/>
            </w:r>
          </w:hyperlink>
        </w:p>
        <w:p w14:paraId="2B4A0DCA" w14:textId="593D55F3" w:rsidR="002F4DCE" w:rsidRDefault="00000000">
          <w:pPr>
            <w:pStyle w:val="Verzeichnis2"/>
            <w:tabs>
              <w:tab w:val="left" w:pos="880"/>
              <w:tab w:val="right" w:leader="underscore" w:pos="8494"/>
            </w:tabs>
            <w:rPr>
              <w:rFonts w:asciiTheme="minorHAnsi" w:hAnsiTheme="minorHAnsi"/>
              <w:noProof/>
              <w:sz w:val="22"/>
            </w:rPr>
          </w:pPr>
          <w:hyperlink w:anchor="_Toc121158652" w:history="1">
            <w:r w:rsidR="002F4DCE" w:rsidRPr="000655B4">
              <w:rPr>
                <w:rStyle w:val="Hyperlink"/>
                <w:rFonts w:cs="Arial"/>
                <w:noProof/>
              </w:rPr>
              <w:t>2.2</w:t>
            </w:r>
            <w:r w:rsidR="002F4DCE">
              <w:rPr>
                <w:rFonts w:asciiTheme="minorHAnsi" w:hAnsiTheme="minorHAnsi"/>
                <w:noProof/>
                <w:sz w:val="22"/>
              </w:rPr>
              <w:tab/>
            </w:r>
            <w:r w:rsidR="002F4DCE" w:rsidRPr="000655B4">
              <w:rPr>
                <w:rStyle w:val="Hyperlink"/>
                <w:noProof/>
              </w:rPr>
              <w:t>Probenmaterial</w:t>
            </w:r>
            <w:r w:rsidR="002F4DCE">
              <w:rPr>
                <w:noProof/>
                <w:webHidden/>
              </w:rPr>
              <w:tab/>
            </w:r>
            <w:r w:rsidR="002F4DCE">
              <w:rPr>
                <w:noProof/>
                <w:webHidden/>
              </w:rPr>
              <w:fldChar w:fldCharType="begin"/>
            </w:r>
            <w:r w:rsidR="002F4DCE">
              <w:rPr>
                <w:noProof/>
                <w:webHidden/>
              </w:rPr>
              <w:instrText xml:space="preserve"> PAGEREF _Toc121158652 \h </w:instrText>
            </w:r>
            <w:r w:rsidR="002F4DCE">
              <w:rPr>
                <w:noProof/>
                <w:webHidden/>
              </w:rPr>
            </w:r>
            <w:r w:rsidR="002F4DCE">
              <w:rPr>
                <w:noProof/>
                <w:webHidden/>
              </w:rPr>
              <w:fldChar w:fldCharType="separate"/>
            </w:r>
            <w:r w:rsidR="00600BBD">
              <w:rPr>
                <w:noProof/>
                <w:webHidden/>
              </w:rPr>
              <w:t>32</w:t>
            </w:r>
            <w:r w:rsidR="002F4DCE">
              <w:rPr>
                <w:noProof/>
                <w:webHidden/>
              </w:rPr>
              <w:fldChar w:fldCharType="end"/>
            </w:r>
          </w:hyperlink>
        </w:p>
        <w:p w14:paraId="52FFB84D" w14:textId="1011A069" w:rsidR="002F4DCE" w:rsidRDefault="00000000">
          <w:pPr>
            <w:pStyle w:val="Verzeichnis2"/>
            <w:tabs>
              <w:tab w:val="left" w:pos="880"/>
              <w:tab w:val="right" w:leader="underscore" w:pos="8494"/>
            </w:tabs>
            <w:rPr>
              <w:rFonts w:asciiTheme="minorHAnsi" w:hAnsiTheme="minorHAnsi"/>
              <w:noProof/>
              <w:sz w:val="22"/>
            </w:rPr>
          </w:pPr>
          <w:hyperlink w:anchor="_Toc121158653" w:history="1">
            <w:r w:rsidR="002F4DCE" w:rsidRPr="000655B4">
              <w:rPr>
                <w:rStyle w:val="Hyperlink"/>
                <w:noProof/>
              </w:rPr>
              <w:t>2.3</w:t>
            </w:r>
            <w:r w:rsidR="002F4DCE">
              <w:rPr>
                <w:rFonts w:asciiTheme="minorHAnsi" w:hAnsiTheme="minorHAnsi"/>
                <w:noProof/>
                <w:sz w:val="22"/>
              </w:rPr>
              <w:tab/>
            </w:r>
            <w:r w:rsidR="002F4DCE" w:rsidRPr="000655B4">
              <w:rPr>
                <w:rStyle w:val="Hyperlink"/>
                <w:noProof/>
              </w:rPr>
              <w:t>Allgemeine Zellkultur und Proliferationsrate</w:t>
            </w:r>
            <w:r w:rsidR="002F4DCE">
              <w:rPr>
                <w:noProof/>
                <w:webHidden/>
              </w:rPr>
              <w:tab/>
            </w:r>
            <w:r w:rsidR="002F4DCE">
              <w:rPr>
                <w:noProof/>
                <w:webHidden/>
              </w:rPr>
              <w:fldChar w:fldCharType="begin"/>
            </w:r>
            <w:r w:rsidR="002F4DCE">
              <w:rPr>
                <w:noProof/>
                <w:webHidden/>
              </w:rPr>
              <w:instrText xml:space="preserve"> PAGEREF _Toc121158653 \h </w:instrText>
            </w:r>
            <w:r w:rsidR="002F4DCE">
              <w:rPr>
                <w:noProof/>
                <w:webHidden/>
              </w:rPr>
            </w:r>
            <w:r w:rsidR="002F4DCE">
              <w:rPr>
                <w:noProof/>
                <w:webHidden/>
              </w:rPr>
              <w:fldChar w:fldCharType="separate"/>
            </w:r>
            <w:r w:rsidR="00600BBD">
              <w:rPr>
                <w:noProof/>
                <w:webHidden/>
              </w:rPr>
              <w:t>33</w:t>
            </w:r>
            <w:r w:rsidR="002F4DCE">
              <w:rPr>
                <w:noProof/>
                <w:webHidden/>
              </w:rPr>
              <w:fldChar w:fldCharType="end"/>
            </w:r>
          </w:hyperlink>
        </w:p>
        <w:p w14:paraId="374E4B79" w14:textId="2E093703" w:rsidR="002F4DCE" w:rsidRDefault="00000000">
          <w:pPr>
            <w:pStyle w:val="Verzeichnis3"/>
            <w:tabs>
              <w:tab w:val="left" w:pos="1320"/>
              <w:tab w:val="right" w:leader="underscore" w:pos="8494"/>
            </w:tabs>
            <w:rPr>
              <w:rFonts w:asciiTheme="minorHAnsi" w:hAnsiTheme="minorHAnsi"/>
              <w:noProof/>
              <w:sz w:val="22"/>
            </w:rPr>
          </w:pPr>
          <w:hyperlink w:anchor="_Toc121158654" w:history="1">
            <w:r w:rsidR="002F4DCE" w:rsidRPr="000655B4">
              <w:rPr>
                <w:rStyle w:val="Hyperlink"/>
                <w:noProof/>
              </w:rPr>
              <w:t>2.3.1</w:t>
            </w:r>
            <w:r w:rsidR="002F4DCE">
              <w:rPr>
                <w:rFonts w:asciiTheme="minorHAnsi" w:hAnsiTheme="minorHAnsi"/>
                <w:noProof/>
                <w:sz w:val="22"/>
              </w:rPr>
              <w:tab/>
            </w:r>
            <w:r w:rsidR="002F4DCE" w:rsidRPr="000655B4">
              <w:rPr>
                <w:rStyle w:val="Hyperlink"/>
                <w:noProof/>
              </w:rPr>
              <w:t>Zellkultur und Passage der Zelllinien (Cal29, T24 und HT1197)</w:t>
            </w:r>
            <w:r w:rsidR="002F4DCE">
              <w:rPr>
                <w:noProof/>
                <w:webHidden/>
              </w:rPr>
              <w:tab/>
            </w:r>
            <w:r w:rsidR="002F4DCE">
              <w:rPr>
                <w:noProof/>
                <w:webHidden/>
              </w:rPr>
              <w:fldChar w:fldCharType="begin"/>
            </w:r>
            <w:r w:rsidR="002F4DCE">
              <w:rPr>
                <w:noProof/>
                <w:webHidden/>
              </w:rPr>
              <w:instrText xml:space="preserve"> PAGEREF _Toc121158654 \h </w:instrText>
            </w:r>
            <w:r w:rsidR="002F4DCE">
              <w:rPr>
                <w:noProof/>
                <w:webHidden/>
              </w:rPr>
            </w:r>
            <w:r w:rsidR="002F4DCE">
              <w:rPr>
                <w:noProof/>
                <w:webHidden/>
              </w:rPr>
              <w:fldChar w:fldCharType="separate"/>
            </w:r>
            <w:r w:rsidR="00600BBD">
              <w:rPr>
                <w:noProof/>
                <w:webHidden/>
              </w:rPr>
              <w:t>34</w:t>
            </w:r>
            <w:r w:rsidR="002F4DCE">
              <w:rPr>
                <w:noProof/>
                <w:webHidden/>
              </w:rPr>
              <w:fldChar w:fldCharType="end"/>
            </w:r>
          </w:hyperlink>
        </w:p>
        <w:p w14:paraId="51B23134" w14:textId="6307B3EF" w:rsidR="002F4DCE" w:rsidRDefault="00000000">
          <w:pPr>
            <w:pStyle w:val="Verzeichnis3"/>
            <w:tabs>
              <w:tab w:val="left" w:pos="1320"/>
              <w:tab w:val="right" w:leader="underscore" w:pos="8494"/>
            </w:tabs>
            <w:rPr>
              <w:rFonts w:asciiTheme="minorHAnsi" w:hAnsiTheme="minorHAnsi"/>
              <w:noProof/>
              <w:sz w:val="22"/>
            </w:rPr>
          </w:pPr>
          <w:hyperlink w:anchor="_Toc121158655" w:history="1">
            <w:r w:rsidR="002F4DCE" w:rsidRPr="000655B4">
              <w:rPr>
                <w:rStyle w:val="Hyperlink"/>
                <w:noProof/>
              </w:rPr>
              <w:t>2.3.2</w:t>
            </w:r>
            <w:r w:rsidR="002F4DCE">
              <w:rPr>
                <w:rFonts w:asciiTheme="minorHAnsi" w:hAnsiTheme="minorHAnsi"/>
                <w:noProof/>
                <w:sz w:val="22"/>
              </w:rPr>
              <w:tab/>
            </w:r>
            <w:r w:rsidR="002F4DCE" w:rsidRPr="000655B4">
              <w:rPr>
                <w:rStyle w:val="Hyperlink"/>
                <w:noProof/>
              </w:rPr>
              <w:t>Zellkultur und Passage der aus nativ Präparaten isolierten Harnleiterzellen</w:t>
            </w:r>
            <w:r w:rsidR="002F4DCE">
              <w:rPr>
                <w:noProof/>
                <w:webHidden/>
              </w:rPr>
              <w:tab/>
            </w:r>
            <w:r w:rsidR="002F4DCE">
              <w:rPr>
                <w:noProof/>
                <w:webHidden/>
              </w:rPr>
              <w:fldChar w:fldCharType="begin"/>
            </w:r>
            <w:r w:rsidR="002F4DCE">
              <w:rPr>
                <w:noProof/>
                <w:webHidden/>
              </w:rPr>
              <w:instrText xml:space="preserve"> PAGEREF _Toc121158655 \h </w:instrText>
            </w:r>
            <w:r w:rsidR="002F4DCE">
              <w:rPr>
                <w:noProof/>
                <w:webHidden/>
              </w:rPr>
            </w:r>
            <w:r w:rsidR="002F4DCE">
              <w:rPr>
                <w:noProof/>
                <w:webHidden/>
              </w:rPr>
              <w:fldChar w:fldCharType="separate"/>
            </w:r>
            <w:r w:rsidR="00600BBD">
              <w:rPr>
                <w:noProof/>
                <w:webHidden/>
              </w:rPr>
              <w:t>36</w:t>
            </w:r>
            <w:r w:rsidR="002F4DCE">
              <w:rPr>
                <w:noProof/>
                <w:webHidden/>
              </w:rPr>
              <w:fldChar w:fldCharType="end"/>
            </w:r>
          </w:hyperlink>
        </w:p>
        <w:p w14:paraId="3C168656" w14:textId="35D78F2D" w:rsidR="002F4DCE" w:rsidRDefault="00000000">
          <w:pPr>
            <w:pStyle w:val="Verzeichnis3"/>
            <w:tabs>
              <w:tab w:val="left" w:pos="1320"/>
              <w:tab w:val="right" w:leader="underscore" w:pos="8494"/>
            </w:tabs>
            <w:rPr>
              <w:rFonts w:asciiTheme="minorHAnsi" w:hAnsiTheme="minorHAnsi"/>
              <w:noProof/>
              <w:sz w:val="22"/>
            </w:rPr>
          </w:pPr>
          <w:hyperlink w:anchor="_Toc121158656" w:history="1">
            <w:r w:rsidR="002F4DCE" w:rsidRPr="000655B4">
              <w:rPr>
                <w:rStyle w:val="Hyperlink"/>
                <w:noProof/>
              </w:rPr>
              <w:t>2.3.3</w:t>
            </w:r>
            <w:r w:rsidR="002F4DCE">
              <w:rPr>
                <w:rFonts w:asciiTheme="minorHAnsi" w:hAnsiTheme="minorHAnsi"/>
                <w:noProof/>
                <w:sz w:val="22"/>
              </w:rPr>
              <w:tab/>
            </w:r>
            <w:r w:rsidR="002F4DCE" w:rsidRPr="000655B4">
              <w:rPr>
                <w:rStyle w:val="Hyperlink"/>
                <w:noProof/>
              </w:rPr>
              <w:t>Infektion von HT1197, HL20/31 und HL20/32</w:t>
            </w:r>
            <w:r w:rsidR="002F4DCE">
              <w:rPr>
                <w:noProof/>
                <w:webHidden/>
              </w:rPr>
              <w:tab/>
            </w:r>
            <w:r w:rsidR="002F4DCE">
              <w:rPr>
                <w:noProof/>
                <w:webHidden/>
              </w:rPr>
              <w:fldChar w:fldCharType="begin"/>
            </w:r>
            <w:r w:rsidR="002F4DCE">
              <w:rPr>
                <w:noProof/>
                <w:webHidden/>
              </w:rPr>
              <w:instrText xml:space="preserve"> PAGEREF _Toc121158656 \h </w:instrText>
            </w:r>
            <w:r w:rsidR="002F4DCE">
              <w:rPr>
                <w:noProof/>
                <w:webHidden/>
              </w:rPr>
            </w:r>
            <w:r w:rsidR="002F4DCE">
              <w:rPr>
                <w:noProof/>
                <w:webHidden/>
              </w:rPr>
              <w:fldChar w:fldCharType="separate"/>
            </w:r>
            <w:r w:rsidR="00600BBD">
              <w:rPr>
                <w:noProof/>
                <w:webHidden/>
              </w:rPr>
              <w:t>38</w:t>
            </w:r>
            <w:r w:rsidR="002F4DCE">
              <w:rPr>
                <w:noProof/>
                <w:webHidden/>
              </w:rPr>
              <w:fldChar w:fldCharType="end"/>
            </w:r>
          </w:hyperlink>
        </w:p>
        <w:p w14:paraId="472C610A" w14:textId="73F9749A" w:rsidR="002F4DCE" w:rsidRDefault="00000000">
          <w:pPr>
            <w:pStyle w:val="Verzeichnis2"/>
            <w:tabs>
              <w:tab w:val="left" w:pos="880"/>
              <w:tab w:val="right" w:leader="underscore" w:pos="8494"/>
            </w:tabs>
            <w:rPr>
              <w:rFonts w:asciiTheme="minorHAnsi" w:hAnsiTheme="minorHAnsi"/>
              <w:noProof/>
              <w:sz w:val="22"/>
            </w:rPr>
          </w:pPr>
          <w:hyperlink w:anchor="_Toc121158657" w:history="1">
            <w:r w:rsidR="002F4DCE" w:rsidRPr="000655B4">
              <w:rPr>
                <w:rStyle w:val="Hyperlink"/>
                <w:noProof/>
              </w:rPr>
              <w:t>2.4</w:t>
            </w:r>
            <w:r w:rsidR="002F4DCE">
              <w:rPr>
                <w:rFonts w:asciiTheme="minorHAnsi" w:hAnsiTheme="minorHAnsi"/>
                <w:noProof/>
                <w:sz w:val="22"/>
              </w:rPr>
              <w:tab/>
            </w:r>
            <w:r w:rsidR="002F4DCE" w:rsidRPr="000655B4">
              <w:rPr>
                <w:rStyle w:val="Hyperlink"/>
                <w:noProof/>
              </w:rPr>
              <w:t>RNA-Extraktion, Umschreibung in cDNA und qRT-PCR</w:t>
            </w:r>
            <w:r w:rsidR="002F4DCE">
              <w:rPr>
                <w:noProof/>
                <w:webHidden/>
              </w:rPr>
              <w:tab/>
            </w:r>
            <w:r w:rsidR="002F4DCE">
              <w:rPr>
                <w:noProof/>
                <w:webHidden/>
              </w:rPr>
              <w:fldChar w:fldCharType="begin"/>
            </w:r>
            <w:r w:rsidR="002F4DCE">
              <w:rPr>
                <w:noProof/>
                <w:webHidden/>
              </w:rPr>
              <w:instrText xml:space="preserve"> PAGEREF _Toc121158657 \h </w:instrText>
            </w:r>
            <w:r w:rsidR="002F4DCE">
              <w:rPr>
                <w:noProof/>
                <w:webHidden/>
              </w:rPr>
            </w:r>
            <w:r w:rsidR="002F4DCE">
              <w:rPr>
                <w:noProof/>
                <w:webHidden/>
              </w:rPr>
              <w:fldChar w:fldCharType="separate"/>
            </w:r>
            <w:r w:rsidR="00600BBD">
              <w:rPr>
                <w:noProof/>
                <w:webHidden/>
              </w:rPr>
              <w:t>39</w:t>
            </w:r>
            <w:r w:rsidR="002F4DCE">
              <w:rPr>
                <w:noProof/>
                <w:webHidden/>
              </w:rPr>
              <w:fldChar w:fldCharType="end"/>
            </w:r>
          </w:hyperlink>
        </w:p>
        <w:p w14:paraId="0C93A7A2" w14:textId="13E8A6B2" w:rsidR="002F4DCE" w:rsidRDefault="00000000">
          <w:pPr>
            <w:pStyle w:val="Verzeichnis3"/>
            <w:tabs>
              <w:tab w:val="left" w:pos="1320"/>
              <w:tab w:val="right" w:leader="underscore" w:pos="8494"/>
            </w:tabs>
            <w:rPr>
              <w:rFonts w:asciiTheme="minorHAnsi" w:hAnsiTheme="minorHAnsi"/>
              <w:noProof/>
              <w:sz w:val="22"/>
            </w:rPr>
          </w:pPr>
          <w:hyperlink w:anchor="_Toc121158658" w:history="1">
            <w:r w:rsidR="002F4DCE" w:rsidRPr="000655B4">
              <w:rPr>
                <w:rStyle w:val="Hyperlink"/>
                <w:noProof/>
              </w:rPr>
              <w:t>2.4.1</w:t>
            </w:r>
            <w:r w:rsidR="002F4DCE">
              <w:rPr>
                <w:rFonts w:asciiTheme="minorHAnsi" w:hAnsiTheme="minorHAnsi"/>
                <w:noProof/>
                <w:sz w:val="22"/>
              </w:rPr>
              <w:tab/>
            </w:r>
            <w:r w:rsidR="002F4DCE" w:rsidRPr="000655B4">
              <w:rPr>
                <w:rStyle w:val="Hyperlink"/>
                <w:noProof/>
              </w:rPr>
              <w:t>RNA-Extraktion</w:t>
            </w:r>
            <w:r w:rsidR="002F4DCE">
              <w:rPr>
                <w:noProof/>
                <w:webHidden/>
              </w:rPr>
              <w:tab/>
            </w:r>
            <w:r w:rsidR="002F4DCE">
              <w:rPr>
                <w:noProof/>
                <w:webHidden/>
              </w:rPr>
              <w:fldChar w:fldCharType="begin"/>
            </w:r>
            <w:r w:rsidR="002F4DCE">
              <w:rPr>
                <w:noProof/>
                <w:webHidden/>
              </w:rPr>
              <w:instrText xml:space="preserve"> PAGEREF _Toc121158658 \h </w:instrText>
            </w:r>
            <w:r w:rsidR="002F4DCE">
              <w:rPr>
                <w:noProof/>
                <w:webHidden/>
              </w:rPr>
            </w:r>
            <w:r w:rsidR="002F4DCE">
              <w:rPr>
                <w:noProof/>
                <w:webHidden/>
              </w:rPr>
              <w:fldChar w:fldCharType="separate"/>
            </w:r>
            <w:r w:rsidR="00600BBD">
              <w:rPr>
                <w:noProof/>
                <w:webHidden/>
              </w:rPr>
              <w:t>39</w:t>
            </w:r>
            <w:r w:rsidR="002F4DCE">
              <w:rPr>
                <w:noProof/>
                <w:webHidden/>
              </w:rPr>
              <w:fldChar w:fldCharType="end"/>
            </w:r>
          </w:hyperlink>
        </w:p>
        <w:p w14:paraId="1792B404" w14:textId="0F8D849B" w:rsidR="002F4DCE" w:rsidRDefault="00000000">
          <w:pPr>
            <w:pStyle w:val="Verzeichnis3"/>
            <w:tabs>
              <w:tab w:val="left" w:pos="1320"/>
              <w:tab w:val="right" w:leader="underscore" w:pos="8494"/>
            </w:tabs>
            <w:rPr>
              <w:rFonts w:asciiTheme="minorHAnsi" w:hAnsiTheme="minorHAnsi"/>
              <w:noProof/>
              <w:sz w:val="22"/>
            </w:rPr>
          </w:pPr>
          <w:hyperlink w:anchor="_Toc121158659" w:history="1">
            <w:r w:rsidR="002F4DCE" w:rsidRPr="000655B4">
              <w:rPr>
                <w:rStyle w:val="Hyperlink"/>
                <w:noProof/>
              </w:rPr>
              <w:t>2.4.2</w:t>
            </w:r>
            <w:r w:rsidR="002F4DCE">
              <w:rPr>
                <w:rFonts w:asciiTheme="minorHAnsi" w:hAnsiTheme="minorHAnsi"/>
                <w:noProof/>
                <w:sz w:val="22"/>
              </w:rPr>
              <w:tab/>
            </w:r>
            <w:r w:rsidR="002F4DCE" w:rsidRPr="000655B4">
              <w:rPr>
                <w:rStyle w:val="Hyperlink"/>
                <w:noProof/>
              </w:rPr>
              <w:t>Umschreiben der RNA in cDNA mittels Reverser Transkription</w:t>
            </w:r>
            <w:r w:rsidR="002F4DCE">
              <w:rPr>
                <w:noProof/>
                <w:webHidden/>
              </w:rPr>
              <w:tab/>
            </w:r>
            <w:r w:rsidR="002F4DCE">
              <w:rPr>
                <w:noProof/>
                <w:webHidden/>
              </w:rPr>
              <w:fldChar w:fldCharType="begin"/>
            </w:r>
            <w:r w:rsidR="002F4DCE">
              <w:rPr>
                <w:noProof/>
                <w:webHidden/>
              </w:rPr>
              <w:instrText xml:space="preserve"> PAGEREF _Toc121158659 \h </w:instrText>
            </w:r>
            <w:r w:rsidR="002F4DCE">
              <w:rPr>
                <w:noProof/>
                <w:webHidden/>
              </w:rPr>
            </w:r>
            <w:r w:rsidR="002F4DCE">
              <w:rPr>
                <w:noProof/>
                <w:webHidden/>
              </w:rPr>
              <w:fldChar w:fldCharType="separate"/>
            </w:r>
            <w:r w:rsidR="00600BBD">
              <w:rPr>
                <w:noProof/>
                <w:webHidden/>
              </w:rPr>
              <w:t>41</w:t>
            </w:r>
            <w:r w:rsidR="002F4DCE">
              <w:rPr>
                <w:noProof/>
                <w:webHidden/>
              </w:rPr>
              <w:fldChar w:fldCharType="end"/>
            </w:r>
          </w:hyperlink>
        </w:p>
        <w:p w14:paraId="7210BFD6" w14:textId="7A3B7F13" w:rsidR="002F4DCE" w:rsidRDefault="00000000">
          <w:pPr>
            <w:pStyle w:val="Verzeichnis3"/>
            <w:tabs>
              <w:tab w:val="left" w:pos="1320"/>
              <w:tab w:val="right" w:leader="underscore" w:pos="8494"/>
            </w:tabs>
            <w:rPr>
              <w:rFonts w:asciiTheme="minorHAnsi" w:hAnsiTheme="minorHAnsi"/>
              <w:noProof/>
              <w:sz w:val="22"/>
            </w:rPr>
          </w:pPr>
          <w:hyperlink w:anchor="_Toc121158660" w:history="1">
            <w:r w:rsidR="002F4DCE" w:rsidRPr="000655B4">
              <w:rPr>
                <w:rStyle w:val="Hyperlink"/>
                <w:noProof/>
              </w:rPr>
              <w:t>2.4.3</w:t>
            </w:r>
            <w:r w:rsidR="002F4DCE">
              <w:rPr>
                <w:rFonts w:asciiTheme="minorHAnsi" w:hAnsiTheme="minorHAnsi"/>
                <w:noProof/>
                <w:sz w:val="22"/>
              </w:rPr>
              <w:tab/>
            </w:r>
            <w:r w:rsidR="002F4DCE" w:rsidRPr="000655B4">
              <w:rPr>
                <w:rStyle w:val="Hyperlink"/>
                <w:noProof/>
              </w:rPr>
              <w:t>qRT-PCR</w:t>
            </w:r>
            <w:r w:rsidR="002F4DCE">
              <w:rPr>
                <w:noProof/>
                <w:webHidden/>
              </w:rPr>
              <w:tab/>
            </w:r>
            <w:r w:rsidR="002F4DCE">
              <w:rPr>
                <w:noProof/>
                <w:webHidden/>
              </w:rPr>
              <w:fldChar w:fldCharType="begin"/>
            </w:r>
            <w:r w:rsidR="002F4DCE">
              <w:rPr>
                <w:noProof/>
                <w:webHidden/>
              </w:rPr>
              <w:instrText xml:space="preserve"> PAGEREF _Toc121158660 \h </w:instrText>
            </w:r>
            <w:r w:rsidR="002F4DCE">
              <w:rPr>
                <w:noProof/>
                <w:webHidden/>
              </w:rPr>
            </w:r>
            <w:r w:rsidR="002F4DCE">
              <w:rPr>
                <w:noProof/>
                <w:webHidden/>
              </w:rPr>
              <w:fldChar w:fldCharType="separate"/>
            </w:r>
            <w:r w:rsidR="00600BBD">
              <w:rPr>
                <w:noProof/>
                <w:webHidden/>
              </w:rPr>
              <w:t>43</w:t>
            </w:r>
            <w:r w:rsidR="002F4DCE">
              <w:rPr>
                <w:noProof/>
                <w:webHidden/>
              </w:rPr>
              <w:fldChar w:fldCharType="end"/>
            </w:r>
          </w:hyperlink>
        </w:p>
        <w:p w14:paraId="079C7267" w14:textId="6FA51396" w:rsidR="002F4DCE" w:rsidRDefault="00000000">
          <w:pPr>
            <w:pStyle w:val="Verzeichnis2"/>
            <w:tabs>
              <w:tab w:val="left" w:pos="880"/>
              <w:tab w:val="right" w:leader="underscore" w:pos="8494"/>
            </w:tabs>
            <w:rPr>
              <w:rFonts w:asciiTheme="minorHAnsi" w:hAnsiTheme="minorHAnsi"/>
              <w:noProof/>
              <w:sz w:val="22"/>
            </w:rPr>
          </w:pPr>
          <w:hyperlink w:anchor="_Toc121158661" w:history="1">
            <w:r w:rsidR="002F4DCE" w:rsidRPr="000655B4">
              <w:rPr>
                <w:rStyle w:val="Hyperlink"/>
                <w:noProof/>
              </w:rPr>
              <w:t>2.5</w:t>
            </w:r>
            <w:r w:rsidR="002F4DCE">
              <w:rPr>
                <w:rFonts w:asciiTheme="minorHAnsi" w:hAnsiTheme="minorHAnsi"/>
                <w:noProof/>
                <w:sz w:val="22"/>
              </w:rPr>
              <w:tab/>
            </w:r>
            <w:r w:rsidR="002F4DCE" w:rsidRPr="000655B4">
              <w:rPr>
                <w:rStyle w:val="Hyperlink"/>
                <w:noProof/>
              </w:rPr>
              <w:t>Proteinbestimmung mittels Western Blot</w:t>
            </w:r>
            <w:r w:rsidR="002F4DCE">
              <w:rPr>
                <w:noProof/>
                <w:webHidden/>
              </w:rPr>
              <w:tab/>
            </w:r>
            <w:r w:rsidR="002F4DCE">
              <w:rPr>
                <w:noProof/>
                <w:webHidden/>
              </w:rPr>
              <w:fldChar w:fldCharType="begin"/>
            </w:r>
            <w:r w:rsidR="002F4DCE">
              <w:rPr>
                <w:noProof/>
                <w:webHidden/>
              </w:rPr>
              <w:instrText xml:space="preserve"> PAGEREF _Toc121158661 \h </w:instrText>
            </w:r>
            <w:r w:rsidR="002F4DCE">
              <w:rPr>
                <w:noProof/>
                <w:webHidden/>
              </w:rPr>
            </w:r>
            <w:r w:rsidR="002F4DCE">
              <w:rPr>
                <w:noProof/>
                <w:webHidden/>
              </w:rPr>
              <w:fldChar w:fldCharType="separate"/>
            </w:r>
            <w:r w:rsidR="00600BBD">
              <w:rPr>
                <w:noProof/>
                <w:webHidden/>
              </w:rPr>
              <w:t>45</w:t>
            </w:r>
            <w:r w:rsidR="002F4DCE">
              <w:rPr>
                <w:noProof/>
                <w:webHidden/>
              </w:rPr>
              <w:fldChar w:fldCharType="end"/>
            </w:r>
          </w:hyperlink>
        </w:p>
        <w:p w14:paraId="17DD7E10" w14:textId="6D9EF471" w:rsidR="002F4DCE" w:rsidRDefault="00000000">
          <w:pPr>
            <w:pStyle w:val="Verzeichnis3"/>
            <w:tabs>
              <w:tab w:val="left" w:pos="1320"/>
              <w:tab w:val="right" w:leader="underscore" w:pos="8494"/>
            </w:tabs>
            <w:rPr>
              <w:rFonts w:asciiTheme="minorHAnsi" w:hAnsiTheme="minorHAnsi"/>
              <w:noProof/>
              <w:sz w:val="22"/>
            </w:rPr>
          </w:pPr>
          <w:hyperlink w:anchor="_Toc121158662" w:history="1">
            <w:r w:rsidR="002F4DCE" w:rsidRPr="000655B4">
              <w:rPr>
                <w:rStyle w:val="Hyperlink"/>
                <w:noProof/>
              </w:rPr>
              <w:t>2.5.1</w:t>
            </w:r>
            <w:r w:rsidR="002F4DCE">
              <w:rPr>
                <w:rFonts w:asciiTheme="minorHAnsi" w:hAnsiTheme="minorHAnsi"/>
                <w:noProof/>
                <w:sz w:val="22"/>
              </w:rPr>
              <w:tab/>
            </w:r>
            <w:r w:rsidR="002F4DCE" w:rsidRPr="000655B4">
              <w:rPr>
                <w:rStyle w:val="Hyperlink"/>
                <w:noProof/>
              </w:rPr>
              <w:t>Proteinextraktion</w:t>
            </w:r>
            <w:r w:rsidR="002F4DCE">
              <w:rPr>
                <w:noProof/>
                <w:webHidden/>
              </w:rPr>
              <w:tab/>
            </w:r>
            <w:r w:rsidR="002F4DCE">
              <w:rPr>
                <w:noProof/>
                <w:webHidden/>
              </w:rPr>
              <w:fldChar w:fldCharType="begin"/>
            </w:r>
            <w:r w:rsidR="002F4DCE">
              <w:rPr>
                <w:noProof/>
                <w:webHidden/>
              </w:rPr>
              <w:instrText xml:space="preserve"> PAGEREF _Toc121158662 \h </w:instrText>
            </w:r>
            <w:r w:rsidR="002F4DCE">
              <w:rPr>
                <w:noProof/>
                <w:webHidden/>
              </w:rPr>
            </w:r>
            <w:r w:rsidR="002F4DCE">
              <w:rPr>
                <w:noProof/>
                <w:webHidden/>
              </w:rPr>
              <w:fldChar w:fldCharType="separate"/>
            </w:r>
            <w:r w:rsidR="00600BBD">
              <w:rPr>
                <w:noProof/>
                <w:webHidden/>
              </w:rPr>
              <w:t>45</w:t>
            </w:r>
            <w:r w:rsidR="002F4DCE">
              <w:rPr>
                <w:noProof/>
                <w:webHidden/>
              </w:rPr>
              <w:fldChar w:fldCharType="end"/>
            </w:r>
          </w:hyperlink>
        </w:p>
        <w:p w14:paraId="2739D879" w14:textId="5EDD90DF" w:rsidR="002F4DCE" w:rsidRDefault="00000000">
          <w:pPr>
            <w:pStyle w:val="Verzeichnis3"/>
            <w:tabs>
              <w:tab w:val="left" w:pos="1320"/>
              <w:tab w:val="right" w:leader="underscore" w:pos="8494"/>
            </w:tabs>
            <w:rPr>
              <w:rFonts w:asciiTheme="minorHAnsi" w:hAnsiTheme="minorHAnsi"/>
              <w:noProof/>
              <w:sz w:val="22"/>
            </w:rPr>
          </w:pPr>
          <w:hyperlink w:anchor="_Toc121158663" w:history="1">
            <w:r w:rsidR="002F4DCE" w:rsidRPr="000655B4">
              <w:rPr>
                <w:rStyle w:val="Hyperlink"/>
                <w:noProof/>
              </w:rPr>
              <w:t>2.5.2</w:t>
            </w:r>
            <w:r w:rsidR="002F4DCE">
              <w:rPr>
                <w:rFonts w:asciiTheme="minorHAnsi" w:hAnsiTheme="minorHAnsi"/>
                <w:noProof/>
                <w:sz w:val="22"/>
              </w:rPr>
              <w:tab/>
            </w:r>
            <w:r w:rsidR="002F4DCE" w:rsidRPr="000655B4">
              <w:rPr>
                <w:rStyle w:val="Hyperlink"/>
                <w:noProof/>
              </w:rPr>
              <w:t>Proteinbestimmung</w:t>
            </w:r>
            <w:r w:rsidR="002F4DCE">
              <w:rPr>
                <w:noProof/>
                <w:webHidden/>
              </w:rPr>
              <w:tab/>
            </w:r>
            <w:r w:rsidR="002F4DCE">
              <w:rPr>
                <w:noProof/>
                <w:webHidden/>
              </w:rPr>
              <w:fldChar w:fldCharType="begin"/>
            </w:r>
            <w:r w:rsidR="002F4DCE">
              <w:rPr>
                <w:noProof/>
                <w:webHidden/>
              </w:rPr>
              <w:instrText xml:space="preserve"> PAGEREF _Toc121158663 \h </w:instrText>
            </w:r>
            <w:r w:rsidR="002F4DCE">
              <w:rPr>
                <w:noProof/>
                <w:webHidden/>
              </w:rPr>
            </w:r>
            <w:r w:rsidR="002F4DCE">
              <w:rPr>
                <w:noProof/>
                <w:webHidden/>
              </w:rPr>
              <w:fldChar w:fldCharType="separate"/>
            </w:r>
            <w:r w:rsidR="00600BBD">
              <w:rPr>
                <w:noProof/>
                <w:webHidden/>
              </w:rPr>
              <w:t>45</w:t>
            </w:r>
            <w:r w:rsidR="002F4DCE">
              <w:rPr>
                <w:noProof/>
                <w:webHidden/>
              </w:rPr>
              <w:fldChar w:fldCharType="end"/>
            </w:r>
          </w:hyperlink>
        </w:p>
        <w:p w14:paraId="71325752" w14:textId="5C90305E" w:rsidR="002F4DCE" w:rsidRDefault="00000000">
          <w:pPr>
            <w:pStyle w:val="Verzeichnis3"/>
            <w:tabs>
              <w:tab w:val="left" w:pos="1320"/>
              <w:tab w:val="right" w:leader="underscore" w:pos="8494"/>
            </w:tabs>
            <w:rPr>
              <w:rFonts w:asciiTheme="minorHAnsi" w:hAnsiTheme="minorHAnsi"/>
              <w:noProof/>
              <w:sz w:val="22"/>
            </w:rPr>
          </w:pPr>
          <w:hyperlink w:anchor="_Toc121158664" w:history="1">
            <w:r w:rsidR="002F4DCE" w:rsidRPr="000655B4">
              <w:rPr>
                <w:rStyle w:val="Hyperlink"/>
                <w:noProof/>
              </w:rPr>
              <w:t>2.5.3</w:t>
            </w:r>
            <w:r w:rsidR="002F4DCE">
              <w:rPr>
                <w:rFonts w:asciiTheme="minorHAnsi" w:hAnsiTheme="minorHAnsi"/>
                <w:noProof/>
                <w:sz w:val="22"/>
              </w:rPr>
              <w:tab/>
            </w:r>
            <w:r w:rsidR="002F4DCE" w:rsidRPr="000655B4">
              <w:rPr>
                <w:rStyle w:val="Hyperlink"/>
                <w:noProof/>
              </w:rPr>
              <w:t>Herstellung des Gels und Proteintrennung mittels SDS-Page</w:t>
            </w:r>
            <w:r w:rsidR="002F4DCE">
              <w:rPr>
                <w:noProof/>
                <w:webHidden/>
              </w:rPr>
              <w:tab/>
            </w:r>
            <w:r w:rsidR="002F4DCE">
              <w:rPr>
                <w:noProof/>
                <w:webHidden/>
              </w:rPr>
              <w:fldChar w:fldCharType="begin"/>
            </w:r>
            <w:r w:rsidR="002F4DCE">
              <w:rPr>
                <w:noProof/>
                <w:webHidden/>
              </w:rPr>
              <w:instrText xml:space="preserve"> PAGEREF _Toc121158664 \h </w:instrText>
            </w:r>
            <w:r w:rsidR="002F4DCE">
              <w:rPr>
                <w:noProof/>
                <w:webHidden/>
              </w:rPr>
            </w:r>
            <w:r w:rsidR="002F4DCE">
              <w:rPr>
                <w:noProof/>
                <w:webHidden/>
              </w:rPr>
              <w:fldChar w:fldCharType="separate"/>
            </w:r>
            <w:r w:rsidR="00600BBD">
              <w:rPr>
                <w:noProof/>
                <w:webHidden/>
              </w:rPr>
              <w:t>50</w:t>
            </w:r>
            <w:r w:rsidR="002F4DCE">
              <w:rPr>
                <w:noProof/>
                <w:webHidden/>
              </w:rPr>
              <w:fldChar w:fldCharType="end"/>
            </w:r>
          </w:hyperlink>
        </w:p>
        <w:p w14:paraId="334CDBED" w14:textId="682BCFC4" w:rsidR="002F4DCE" w:rsidRDefault="00000000">
          <w:pPr>
            <w:pStyle w:val="Verzeichnis3"/>
            <w:tabs>
              <w:tab w:val="left" w:pos="1320"/>
              <w:tab w:val="right" w:leader="underscore" w:pos="8494"/>
            </w:tabs>
            <w:rPr>
              <w:rFonts w:asciiTheme="minorHAnsi" w:hAnsiTheme="minorHAnsi"/>
              <w:noProof/>
              <w:sz w:val="22"/>
            </w:rPr>
          </w:pPr>
          <w:hyperlink w:anchor="_Toc121158665" w:history="1">
            <w:r w:rsidR="002F4DCE" w:rsidRPr="000655B4">
              <w:rPr>
                <w:rStyle w:val="Hyperlink"/>
                <w:noProof/>
              </w:rPr>
              <w:t>2.5.4</w:t>
            </w:r>
            <w:r w:rsidR="002F4DCE">
              <w:rPr>
                <w:rFonts w:asciiTheme="minorHAnsi" w:hAnsiTheme="minorHAnsi"/>
                <w:noProof/>
                <w:sz w:val="22"/>
              </w:rPr>
              <w:tab/>
            </w:r>
            <w:r w:rsidR="002F4DCE" w:rsidRPr="000655B4">
              <w:rPr>
                <w:rStyle w:val="Hyperlink"/>
                <w:noProof/>
              </w:rPr>
              <w:t>Transfer, Erst- und Zweitantikörper Markierung mit CD276 sowie LI-COR Messung</w:t>
            </w:r>
            <w:r w:rsidR="002F4DCE">
              <w:rPr>
                <w:noProof/>
                <w:webHidden/>
              </w:rPr>
              <w:tab/>
            </w:r>
            <w:r w:rsidR="002F4DCE">
              <w:rPr>
                <w:noProof/>
                <w:webHidden/>
              </w:rPr>
              <w:fldChar w:fldCharType="begin"/>
            </w:r>
            <w:r w:rsidR="002F4DCE">
              <w:rPr>
                <w:noProof/>
                <w:webHidden/>
              </w:rPr>
              <w:instrText xml:space="preserve"> PAGEREF _Toc121158665 \h </w:instrText>
            </w:r>
            <w:r w:rsidR="002F4DCE">
              <w:rPr>
                <w:noProof/>
                <w:webHidden/>
              </w:rPr>
            </w:r>
            <w:r w:rsidR="002F4DCE">
              <w:rPr>
                <w:noProof/>
                <w:webHidden/>
              </w:rPr>
              <w:fldChar w:fldCharType="separate"/>
            </w:r>
            <w:r w:rsidR="00600BBD">
              <w:rPr>
                <w:noProof/>
                <w:webHidden/>
              </w:rPr>
              <w:t>51</w:t>
            </w:r>
            <w:r w:rsidR="002F4DCE">
              <w:rPr>
                <w:noProof/>
                <w:webHidden/>
              </w:rPr>
              <w:fldChar w:fldCharType="end"/>
            </w:r>
          </w:hyperlink>
        </w:p>
        <w:p w14:paraId="269DE5BF" w14:textId="51A92CF1" w:rsidR="002F4DCE" w:rsidRDefault="00000000">
          <w:pPr>
            <w:pStyle w:val="Verzeichnis3"/>
            <w:tabs>
              <w:tab w:val="left" w:pos="1320"/>
              <w:tab w:val="right" w:leader="underscore" w:pos="8494"/>
            </w:tabs>
            <w:rPr>
              <w:rFonts w:asciiTheme="minorHAnsi" w:hAnsiTheme="minorHAnsi"/>
              <w:noProof/>
              <w:sz w:val="22"/>
            </w:rPr>
          </w:pPr>
          <w:hyperlink w:anchor="_Toc121158666" w:history="1">
            <w:r w:rsidR="002F4DCE" w:rsidRPr="000655B4">
              <w:rPr>
                <w:rStyle w:val="Hyperlink"/>
                <w:noProof/>
              </w:rPr>
              <w:t>2.5.5</w:t>
            </w:r>
            <w:r w:rsidR="002F4DCE">
              <w:rPr>
                <w:rFonts w:asciiTheme="minorHAnsi" w:hAnsiTheme="minorHAnsi"/>
                <w:noProof/>
                <w:sz w:val="22"/>
              </w:rPr>
              <w:tab/>
            </w:r>
            <w:r w:rsidR="002F4DCE" w:rsidRPr="000655B4">
              <w:rPr>
                <w:rStyle w:val="Hyperlink"/>
                <w:noProof/>
              </w:rPr>
              <w:t>Stripping</w:t>
            </w:r>
            <w:r w:rsidR="002F4DCE">
              <w:rPr>
                <w:noProof/>
                <w:webHidden/>
              </w:rPr>
              <w:tab/>
            </w:r>
            <w:r w:rsidR="002F4DCE">
              <w:rPr>
                <w:noProof/>
                <w:webHidden/>
              </w:rPr>
              <w:fldChar w:fldCharType="begin"/>
            </w:r>
            <w:r w:rsidR="002F4DCE">
              <w:rPr>
                <w:noProof/>
                <w:webHidden/>
              </w:rPr>
              <w:instrText xml:space="preserve"> PAGEREF _Toc121158666 \h </w:instrText>
            </w:r>
            <w:r w:rsidR="002F4DCE">
              <w:rPr>
                <w:noProof/>
                <w:webHidden/>
              </w:rPr>
            </w:r>
            <w:r w:rsidR="002F4DCE">
              <w:rPr>
                <w:noProof/>
                <w:webHidden/>
              </w:rPr>
              <w:fldChar w:fldCharType="separate"/>
            </w:r>
            <w:r w:rsidR="00600BBD">
              <w:rPr>
                <w:noProof/>
                <w:webHidden/>
              </w:rPr>
              <w:t>55</w:t>
            </w:r>
            <w:r w:rsidR="002F4DCE">
              <w:rPr>
                <w:noProof/>
                <w:webHidden/>
              </w:rPr>
              <w:fldChar w:fldCharType="end"/>
            </w:r>
          </w:hyperlink>
        </w:p>
        <w:p w14:paraId="12839147" w14:textId="1A34FA1A" w:rsidR="002F4DCE" w:rsidRDefault="00000000">
          <w:pPr>
            <w:pStyle w:val="Verzeichnis3"/>
            <w:tabs>
              <w:tab w:val="left" w:pos="1320"/>
              <w:tab w:val="right" w:leader="underscore" w:pos="8494"/>
            </w:tabs>
            <w:rPr>
              <w:rFonts w:asciiTheme="minorHAnsi" w:hAnsiTheme="minorHAnsi"/>
              <w:noProof/>
              <w:sz w:val="22"/>
            </w:rPr>
          </w:pPr>
          <w:hyperlink w:anchor="_Toc121158667" w:history="1">
            <w:r w:rsidR="002F4DCE" w:rsidRPr="000655B4">
              <w:rPr>
                <w:rStyle w:val="Hyperlink"/>
                <w:noProof/>
              </w:rPr>
              <w:t>2.5.6</w:t>
            </w:r>
            <w:r w:rsidR="002F4DCE">
              <w:rPr>
                <w:rFonts w:asciiTheme="minorHAnsi" w:hAnsiTheme="minorHAnsi"/>
                <w:noProof/>
                <w:sz w:val="22"/>
              </w:rPr>
              <w:tab/>
            </w:r>
            <w:r w:rsidR="002F4DCE" w:rsidRPr="000655B4">
              <w:rPr>
                <w:rStyle w:val="Hyperlink"/>
                <w:noProof/>
              </w:rPr>
              <w:t>Erst- und Zweitantikörper Markierung mit Housekeeping Protein ß-Aktin</w:t>
            </w:r>
            <w:r w:rsidR="002F4DCE">
              <w:rPr>
                <w:noProof/>
                <w:webHidden/>
              </w:rPr>
              <w:tab/>
            </w:r>
            <w:r w:rsidR="002F4DCE">
              <w:rPr>
                <w:noProof/>
                <w:webHidden/>
              </w:rPr>
              <w:fldChar w:fldCharType="begin"/>
            </w:r>
            <w:r w:rsidR="002F4DCE">
              <w:rPr>
                <w:noProof/>
                <w:webHidden/>
              </w:rPr>
              <w:instrText xml:space="preserve"> PAGEREF _Toc121158667 \h </w:instrText>
            </w:r>
            <w:r w:rsidR="002F4DCE">
              <w:rPr>
                <w:noProof/>
                <w:webHidden/>
              </w:rPr>
            </w:r>
            <w:r w:rsidR="002F4DCE">
              <w:rPr>
                <w:noProof/>
                <w:webHidden/>
              </w:rPr>
              <w:fldChar w:fldCharType="separate"/>
            </w:r>
            <w:r w:rsidR="00600BBD">
              <w:rPr>
                <w:noProof/>
                <w:webHidden/>
              </w:rPr>
              <w:t>55</w:t>
            </w:r>
            <w:r w:rsidR="002F4DCE">
              <w:rPr>
                <w:noProof/>
                <w:webHidden/>
              </w:rPr>
              <w:fldChar w:fldCharType="end"/>
            </w:r>
          </w:hyperlink>
        </w:p>
        <w:p w14:paraId="5C690FCE" w14:textId="20A646BB" w:rsidR="002F4DCE" w:rsidRDefault="00000000">
          <w:pPr>
            <w:pStyle w:val="Verzeichnis2"/>
            <w:tabs>
              <w:tab w:val="left" w:pos="880"/>
              <w:tab w:val="right" w:leader="underscore" w:pos="8494"/>
            </w:tabs>
            <w:rPr>
              <w:rFonts w:asciiTheme="minorHAnsi" w:hAnsiTheme="minorHAnsi"/>
              <w:noProof/>
              <w:sz w:val="22"/>
            </w:rPr>
          </w:pPr>
          <w:hyperlink w:anchor="_Toc121158668" w:history="1">
            <w:r w:rsidR="002F4DCE" w:rsidRPr="000655B4">
              <w:rPr>
                <w:rStyle w:val="Hyperlink"/>
                <w:noProof/>
              </w:rPr>
              <w:t>2.6</w:t>
            </w:r>
            <w:r w:rsidR="002F4DCE">
              <w:rPr>
                <w:rFonts w:asciiTheme="minorHAnsi" w:hAnsiTheme="minorHAnsi"/>
                <w:noProof/>
                <w:sz w:val="22"/>
              </w:rPr>
              <w:tab/>
            </w:r>
            <w:r w:rsidR="002F4DCE" w:rsidRPr="000655B4">
              <w:rPr>
                <w:rStyle w:val="Hyperlink"/>
                <w:noProof/>
              </w:rPr>
              <w:t>Durchflusszytometrie</w:t>
            </w:r>
            <w:r w:rsidR="002F4DCE">
              <w:rPr>
                <w:noProof/>
                <w:webHidden/>
              </w:rPr>
              <w:tab/>
            </w:r>
            <w:r w:rsidR="002F4DCE">
              <w:rPr>
                <w:noProof/>
                <w:webHidden/>
              </w:rPr>
              <w:fldChar w:fldCharType="begin"/>
            </w:r>
            <w:r w:rsidR="002F4DCE">
              <w:rPr>
                <w:noProof/>
                <w:webHidden/>
              </w:rPr>
              <w:instrText xml:space="preserve"> PAGEREF _Toc121158668 \h </w:instrText>
            </w:r>
            <w:r w:rsidR="002F4DCE">
              <w:rPr>
                <w:noProof/>
                <w:webHidden/>
              </w:rPr>
            </w:r>
            <w:r w:rsidR="002F4DCE">
              <w:rPr>
                <w:noProof/>
                <w:webHidden/>
              </w:rPr>
              <w:fldChar w:fldCharType="separate"/>
            </w:r>
            <w:r w:rsidR="00600BBD">
              <w:rPr>
                <w:noProof/>
                <w:webHidden/>
              </w:rPr>
              <w:t>56</w:t>
            </w:r>
            <w:r w:rsidR="002F4DCE">
              <w:rPr>
                <w:noProof/>
                <w:webHidden/>
              </w:rPr>
              <w:fldChar w:fldCharType="end"/>
            </w:r>
          </w:hyperlink>
        </w:p>
        <w:p w14:paraId="459048D2" w14:textId="25B21520" w:rsidR="002F4DCE" w:rsidRDefault="00000000">
          <w:pPr>
            <w:pStyle w:val="Verzeichnis2"/>
            <w:tabs>
              <w:tab w:val="left" w:pos="880"/>
              <w:tab w:val="right" w:leader="underscore" w:pos="8494"/>
            </w:tabs>
            <w:rPr>
              <w:rFonts w:asciiTheme="minorHAnsi" w:hAnsiTheme="minorHAnsi"/>
              <w:noProof/>
              <w:sz w:val="22"/>
            </w:rPr>
          </w:pPr>
          <w:hyperlink w:anchor="_Toc121158669" w:history="1">
            <w:r w:rsidR="002F4DCE" w:rsidRPr="000655B4">
              <w:rPr>
                <w:rStyle w:val="Hyperlink"/>
                <w:noProof/>
              </w:rPr>
              <w:t>2.7</w:t>
            </w:r>
            <w:r w:rsidR="002F4DCE">
              <w:rPr>
                <w:rFonts w:asciiTheme="minorHAnsi" w:hAnsiTheme="minorHAnsi"/>
                <w:noProof/>
                <w:sz w:val="22"/>
              </w:rPr>
              <w:tab/>
            </w:r>
            <w:r w:rsidR="002F4DCE" w:rsidRPr="000655B4">
              <w:rPr>
                <w:rStyle w:val="Hyperlink"/>
                <w:noProof/>
              </w:rPr>
              <w:t>Nachweis und Ausschluss einer Mykoplasmen Infektion mittels MycoSPY</w:t>
            </w:r>
            <w:r w:rsidR="002F4DCE" w:rsidRPr="000655B4">
              <w:rPr>
                <w:rStyle w:val="Hyperlink"/>
                <w:noProof/>
                <w:vertAlign w:val="superscript"/>
              </w:rPr>
              <w:t>®</w:t>
            </w:r>
            <w:r w:rsidR="002F4DCE">
              <w:rPr>
                <w:noProof/>
                <w:webHidden/>
              </w:rPr>
              <w:tab/>
            </w:r>
            <w:r w:rsidR="002F4DCE">
              <w:rPr>
                <w:noProof/>
                <w:webHidden/>
              </w:rPr>
              <w:fldChar w:fldCharType="begin"/>
            </w:r>
            <w:r w:rsidR="002F4DCE">
              <w:rPr>
                <w:noProof/>
                <w:webHidden/>
              </w:rPr>
              <w:instrText xml:space="preserve"> PAGEREF _Toc121158669 \h </w:instrText>
            </w:r>
            <w:r w:rsidR="002F4DCE">
              <w:rPr>
                <w:noProof/>
                <w:webHidden/>
              </w:rPr>
            </w:r>
            <w:r w:rsidR="002F4DCE">
              <w:rPr>
                <w:noProof/>
                <w:webHidden/>
              </w:rPr>
              <w:fldChar w:fldCharType="separate"/>
            </w:r>
            <w:r w:rsidR="00600BBD">
              <w:rPr>
                <w:noProof/>
                <w:webHidden/>
              </w:rPr>
              <w:t>58</w:t>
            </w:r>
            <w:r w:rsidR="002F4DCE">
              <w:rPr>
                <w:noProof/>
                <w:webHidden/>
              </w:rPr>
              <w:fldChar w:fldCharType="end"/>
            </w:r>
          </w:hyperlink>
        </w:p>
        <w:p w14:paraId="4B468B36" w14:textId="488D809D" w:rsidR="002F4DCE" w:rsidRDefault="00000000">
          <w:pPr>
            <w:pStyle w:val="Verzeichnis3"/>
            <w:tabs>
              <w:tab w:val="left" w:pos="1320"/>
              <w:tab w:val="right" w:leader="underscore" w:pos="8494"/>
            </w:tabs>
            <w:rPr>
              <w:rFonts w:asciiTheme="minorHAnsi" w:hAnsiTheme="minorHAnsi"/>
              <w:noProof/>
              <w:sz w:val="22"/>
            </w:rPr>
          </w:pPr>
          <w:hyperlink w:anchor="_Toc121158670" w:history="1">
            <w:r w:rsidR="002F4DCE" w:rsidRPr="000655B4">
              <w:rPr>
                <w:rStyle w:val="Hyperlink"/>
                <w:noProof/>
              </w:rPr>
              <w:t>2.7.1</w:t>
            </w:r>
            <w:r w:rsidR="002F4DCE">
              <w:rPr>
                <w:rFonts w:asciiTheme="minorHAnsi" w:hAnsiTheme="minorHAnsi"/>
                <w:noProof/>
                <w:sz w:val="22"/>
              </w:rPr>
              <w:tab/>
            </w:r>
            <w:r w:rsidR="002F4DCE" w:rsidRPr="000655B4">
              <w:rPr>
                <w:rStyle w:val="Hyperlink"/>
                <w:noProof/>
              </w:rPr>
              <w:t>Behandlung des Zellkulturüberstands</w:t>
            </w:r>
            <w:r w:rsidR="002F4DCE">
              <w:rPr>
                <w:noProof/>
                <w:webHidden/>
              </w:rPr>
              <w:tab/>
            </w:r>
            <w:r w:rsidR="002F4DCE">
              <w:rPr>
                <w:noProof/>
                <w:webHidden/>
              </w:rPr>
              <w:fldChar w:fldCharType="begin"/>
            </w:r>
            <w:r w:rsidR="002F4DCE">
              <w:rPr>
                <w:noProof/>
                <w:webHidden/>
              </w:rPr>
              <w:instrText xml:space="preserve"> PAGEREF _Toc121158670 \h </w:instrText>
            </w:r>
            <w:r w:rsidR="002F4DCE">
              <w:rPr>
                <w:noProof/>
                <w:webHidden/>
              </w:rPr>
            </w:r>
            <w:r w:rsidR="002F4DCE">
              <w:rPr>
                <w:noProof/>
                <w:webHidden/>
              </w:rPr>
              <w:fldChar w:fldCharType="separate"/>
            </w:r>
            <w:r w:rsidR="00600BBD">
              <w:rPr>
                <w:noProof/>
                <w:webHidden/>
              </w:rPr>
              <w:t>58</w:t>
            </w:r>
            <w:r w:rsidR="002F4DCE">
              <w:rPr>
                <w:noProof/>
                <w:webHidden/>
              </w:rPr>
              <w:fldChar w:fldCharType="end"/>
            </w:r>
          </w:hyperlink>
        </w:p>
        <w:p w14:paraId="6C57782C" w14:textId="4DF3AF64" w:rsidR="002F4DCE" w:rsidRDefault="00000000">
          <w:pPr>
            <w:pStyle w:val="Verzeichnis3"/>
            <w:tabs>
              <w:tab w:val="left" w:pos="1320"/>
              <w:tab w:val="right" w:leader="underscore" w:pos="8494"/>
            </w:tabs>
            <w:rPr>
              <w:rFonts w:asciiTheme="minorHAnsi" w:hAnsiTheme="minorHAnsi"/>
              <w:noProof/>
              <w:sz w:val="22"/>
            </w:rPr>
          </w:pPr>
          <w:hyperlink w:anchor="_Toc121158671" w:history="1">
            <w:r w:rsidR="002F4DCE" w:rsidRPr="000655B4">
              <w:rPr>
                <w:rStyle w:val="Hyperlink"/>
                <w:noProof/>
              </w:rPr>
              <w:t>2.7.2</w:t>
            </w:r>
            <w:r w:rsidR="002F4DCE">
              <w:rPr>
                <w:rFonts w:asciiTheme="minorHAnsi" w:hAnsiTheme="minorHAnsi"/>
                <w:noProof/>
                <w:sz w:val="22"/>
              </w:rPr>
              <w:tab/>
            </w:r>
            <w:r w:rsidR="002F4DCE" w:rsidRPr="000655B4">
              <w:rPr>
                <w:rStyle w:val="Hyperlink"/>
                <w:noProof/>
              </w:rPr>
              <w:t>PCR</w:t>
            </w:r>
            <w:r w:rsidR="002F4DCE">
              <w:rPr>
                <w:noProof/>
                <w:webHidden/>
              </w:rPr>
              <w:tab/>
            </w:r>
            <w:r w:rsidR="002F4DCE">
              <w:rPr>
                <w:noProof/>
                <w:webHidden/>
              </w:rPr>
              <w:fldChar w:fldCharType="begin"/>
            </w:r>
            <w:r w:rsidR="002F4DCE">
              <w:rPr>
                <w:noProof/>
                <w:webHidden/>
              </w:rPr>
              <w:instrText xml:space="preserve"> PAGEREF _Toc121158671 \h </w:instrText>
            </w:r>
            <w:r w:rsidR="002F4DCE">
              <w:rPr>
                <w:noProof/>
                <w:webHidden/>
              </w:rPr>
            </w:r>
            <w:r w:rsidR="002F4DCE">
              <w:rPr>
                <w:noProof/>
                <w:webHidden/>
              </w:rPr>
              <w:fldChar w:fldCharType="separate"/>
            </w:r>
            <w:r w:rsidR="00600BBD">
              <w:rPr>
                <w:noProof/>
                <w:webHidden/>
              </w:rPr>
              <w:t>59</w:t>
            </w:r>
            <w:r w:rsidR="002F4DCE">
              <w:rPr>
                <w:noProof/>
                <w:webHidden/>
              </w:rPr>
              <w:fldChar w:fldCharType="end"/>
            </w:r>
          </w:hyperlink>
        </w:p>
        <w:p w14:paraId="72AA1CDA" w14:textId="418CFE8A" w:rsidR="002F4DCE" w:rsidRDefault="00000000">
          <w:pPr>
            <w:pStyle w:val="Verzeichnis3"/>
            <w:tabs>
              <w:tab w:val="left" w:pos="1320"/>
              <w:tab w:val="right" w:leader="underscore" w:pos="8494"/>
            </w:tabs>
            <w:rPr>
              <w:rFonts w:asciiTheme="minorHAnsi" w:hAnsiTheme="minorHAnsi"/>
              <w:noProof/>
              <w:sz w:val="22"/>
            </w:rPr>
          </w:pPr>
          <w:hyperlink w:anchor="_Toc121158672" w:history="1">
            <w:r w:rsidR="002F4DCE" w:rsidRPr="000655B4">
              <w:rPr>
                <w:rStyle w:val="Hyperlink"/>
                <w:noProof/>
              </w:rPr>
              <w:t>2.7.3</w:t>
            </w:r>
            <w:r w:rsidR="002F4DCE">
              <w:rPr>
                <w:rFonts w:asciiTheme="minorHAnsi" w:hAnsiTheme="minorHAnsi"/>
                <w:noProof/>
                <w:sz w:val="22"/>
              </w:rPr>
              <w:tab/>
            </w:r>
            <w:r w:rsidR="002F4DCE" w:rsidRPr="000655B4">
              <w:rPr>
                <w:rStyle w:val="Hyperlink"/>
                <w:noProof/>
              </w:rPr>
              <w:t>Agarosegel</w:t>
            </w:r>
            <w:r w:rsidR="002F4DCE">
              <w:rPr>
                <w:noProof/>
                <w:webHidden/>
              </w:rPr>
              <w:tab/>
            </w:r>
            <w:r w:rsidR="002F4DCE">
              <w:rPr>
                <w:noProof/>
                <w:webHidden/>
              </w:rPr>
              <w:fldChar w:fldCharType="begin"/>
            </w:r>
            <w:r w:rsidR="002F4DCE">
              <w:rPr>
                <w:noProof/>
                <w:webHidden/>
              </w:rPr>
              <w:instrText xml:space="preserve"> PAGEREF _Toc121158672 \h </w:instrText>
            </w:r>
            <w:r w:rsidR="002F4DCE">
              <w:rPr>
                <w:noProof/>
                <w:webHidden/>
              </w:rPr>
            </w:r>
            <w:r w:rsidR="002F4DCE">
              <w:rPr>
                <w:noProof/>
                <w:webHidden/>
              </w:rPr>
              <w:fldChar w:fldCharType="separate"/>
            </w:r>
            <w:r w:rsidR="00600BBD">
              <w:rPr>
                <w:noProof/>
                <w:webHidden/>
              </w:rPr>
              <w:t>60</w:t>
            </w:r>
            <w:r w:rsidR="002F4DCE">
              <w:rPr>
                <w:noProof/>
                <w:webHidden/>
              </w:rPr>
              <w:fldChar w:fldCharType="end"/>
            </w:r>
          </w:hyperlink>
        </w:p>
        <w:p w14:paraId="0321D48E" w14:textId="7E8FFE90" w:rsidR="002F4DCE" w:rsidRDefault="00000000">
          <w:pPr>
            <w:pStyle w:val="Verzeichnis1"/>
            <w:tabs>
              <w:tab w:val="left" w:pos="440"/>
              <w:tab w:val="right" w:leader="underscore" w:pos="8494"/>
            </w:tabs>
            <w:rPr>
              <w:rFonts w:asciiTheme="minorHAnsi" w:hAnsiTheme="minorHAnsi"/>
              <w:noProof/>
              <w:sz w:val="22"/>
            </w:rPr>
          </w:pPr>
          <w:hyperlink w:anchor="_Toc121158673" w:history="1">
            <w:r w:rsidR="002F4DCE" w:rsidRPr="000655B4">
              <w:rPr>
                <w:rStyle w:val="Hyperlink"/>
                <w:noProof/>
              </w:rPr>
              <w:t>3</w:t>
            </w:r>
            <w:r w:rsidR="002F4DCE">
              <w:rPr>
                <w:rFonts w:asciiTheme="minorHAnsi" w:hAnsiTheme="minorHAnsi"/>
                <w:noProof/>
                <w:sz w:val="22"/>
              </w:rPr>
              <w:tab/>
            </w:r>
            <w:r w:rsidR="002F4DCE" w:rsidRPr="000655B4">
              <w:rPr>
                <w:rStyle w:val="Hyperlink"/>
                <w:noProof/>
              </w:rPr>
              <w:t>Ergebnisse</w:t>
            </w:r>
            <w:r w:rsidR="002F4DCE">
              <w:rPr>
                <w:noProof/>
                <w:webHidden/>
              </w:rPr>
              <w:tab/>
            </w:r>
            <w:r w:rsidR="002F4DCE">
              <w:rPr>
                <w:noProof/>
                <w:webHidden/>
              </w:rPr>
              <w:fldChar w:fldCharType="begin"/>
            </w:r>
            <w:r w:rsidR="002F4DCE">
              <w:rPr>
                <w:noProof/>
                <w:webHidden/>
              </w:rPr>
              <w:instrText xml:space="preserve"> PAGEREF _Toc121158673 \h </w:instrText>
            </w:r>
            <w:r w:rsidR="002F4DCE">
              <w:rPr>
                <w:noProof/>
                <w:webHidden/>
              </w:rPr>
            </w:r>
            <w:r w:rsidR="002F4DCE">
              <w:rPr>
                <w:noProof/>
                <w:webHidden/>
              </w:rPr>
              <w:fldChar w:fldCharType="separate"/>
            </w:r>
            <w:r w:rsidR="00600BBD">
              <w:rPr>
                <w:noProof/>
                <w:webHidden/>
              </w:rPr>
              <w:t>62</w:t>
            </w:r>
            <w:r w:rsidR="002F4DCE">
              <w:rPr>
                <w:noProof/>
                <w:webHidden/>
              </w:rPr>
              <w:fldChar w:fldCharType="end"/>
            </w:r>
          </w:hyperlink>
        </w:p>
        <w:p w14:paraId="43E3FAB7" w14:textId="44E9F1FB" w:rsidR="002F4DCE" w:rsidRDefault="00000000">
          <w:pPr>
            <w:pStyle w:val="Verzeichnis2"/>
            <w:tabs>
              <w:tab w:val="left" w:pos="880"/>
              <w:tab w:val="right" w:leader="underscore" w:pos="8494"/>
            </w:tabs>
            <w:rPr>
              <w:rFonts w:asciiTheme="minorHAnsi" w:hAnsiTheme="minorHAnsi"/>
              <w:noProof/>
              <w:sz w:val="22"/>
            </w:rPr>
          </w:pPr>
          <w:hyperlink w:anchor="_Toc121158674" w:history="1">
            <w:r w:rsidR="002F4DCE" w:rsidRPr="000655B4">
              <w:rPr>
                <w:rStyle w:val="Hyperlink"/>
                <w:noProof/>
              </w:rPr>
              <w:t>3.1</w:t>
            </w:r>
            <w:r w:rsidR="002F4DCE">
              <w:rPr>
                <w:rFonts w:asciiTheme="minorHAnsi" w:hAnsiTheme="minorHAnsi"/>
                <w:noProof/>
                <w:sz w:val="22"/>
              </w:rPr>
              <w:tab/>
            </w:r>
            <w:r w:rsidR="002F4DCE" w:rsidRPr="000655B4">
              <w:rPr>
                <w:rStyle w:val="Hyperlink"/>
                <w:noProof/>
              </w:rPr>
              <w:t>Duplikationsrate der Zelllinien mit und ohne Mykoplasmen Infektion</w:t>
            </w:r>
            <w:r w:rsidR="002F4DCE">
              <w:rPr>
                <w:noProof/>
                <w:webHidden/>
              </w:rPr>
              <w:tab/>
            </w:r>
            <w:r w:rsidR="002F4DCE">
              <w:rPr>
                <w:noProof/>
                <w:webHidden/>
              </w:rPr>
              <w:fldChar w:fldCharType="begin"/>
            </w:r>
            <w:r w:rsidR="002F4DCE">
              <w:rPr>
                <w:noProof/>
                <w:webHidden/>
              </w:rPr>
              <w:instrText xml:space="preserve"> PAGEREF _Toc121158674 \h </w:instrText>
            </w:r>
            <w:r w:rsidR="002F4DCE">
              <w:rPr>
                <w:noProof/>
                <w:webHidden/>
              </w:rPr>
            </w:r>
            <w:r w:rsidR="002F4DCE">
              <w:rPr>
                <w:noProof/>
                <w:webHidden/>
              </w:rPr>
              <w:fldChar w:fldCharType="separate"/>
            </w:r>
            <w:r w:rsidR="00600BBD">
              <w:rPr>
                <w:noProof/>
                <w:webHidden/>
              </w:rPr>
              <w:t>62</w:t>
            </w:r>
            <w:r w:rsidR="002F4DCE">
              <w:rPr>
                <w:noProof/>
                <w:webHidden/>
              </w:rPr>
              <w:fldChar w:fldCharType="end"/>
            </w:r>
          </w:hyperlink>
        </w:p>
        <w:p w14:paraId="1C1621FD" w14:textId="1B7A2DEC" w:rsidR="002F4DCE" w:rsidRDefault="00000000">
          <w:pPr>
            <w:pStyle w:val="Verzeichnis2"/>
            <w:tabs>
              <w:tab w:val="left" w:pos="880"/>
              <w:tab w:val="right" w:leader="underscore" w:pos="8494"/>
            </w:tabs>
            <w:rPr>
              <w:rFonts w:asciiTheme="minorHAnsi" w:hAnsiTheme="minorHAnsi"/>
              <w:noProof/>
              <w:sz w:val="22"/>
            </w:rPr>
          </w:pPr>
          <w:hyperlink w:anchor="_Toc121158675" w:history="1">
            <w:r w:rsidR="002F4DCE" w:rsidRPr="000655B4">
              <w:rPr>
                <w:rStyle w:val="Hyperlink"/>
                <w:noProof/>
              </w:rPr>
              <w:t>3.2</w:t>
            </w:r>
            <w:r w:rsidR="002F4DCE">
              <w:rPr>
                <w:rFonts w:asciiTheme="minorHAnsi" w:hAnsiTheme="minorHAnsi"/>
                <w:noProof/>
                <w:sz w:val="22"/>
              </w:rPr>
              <w:tab/>
            </w:r>
            <w:r w:rsidR="002F4DCE" w:rsidRPr="000655B4">
              <w:rPr>
                <w:rStyle w:val="Hyperlink"/>
                <w:noProof/>
              </w:rPr>
              <w:t>Morphologie von Mykoplasmen infizierten Zellen im Vergleich mit nicht-infizierten Zellen</w:t>
            </w:r>
            <w:r w:rsidR="002F4DCE">
              <w:rPr>
                <w:noProof/>
                <w:webHidden/>
              </w:rPr>
              <w:tab/>
            </w:r>
            <w:r w:rsidR="002F4DCE">
              <w:rPr>
                <w:noProof/>
                <w:webHidden/>
              </w:rPr>
              <w:fldChar w:fldCharType="begin"/>
            </w:r>
            <w:r w:rsidR="002F4DCE">
              <w:rPr>
                <w:noProof/>
                <w:webHidden/>
              </w:rPr>
              <w:instrText xml:space="preserve"> PAGEREF _Toc121158675 \h </w:instrText>
            </w:r>
            <w:r w:rsidR="002F4DCE">
              <w:rPr>
                <w:noProof/>
                <w:webHidden/>
              </w:rPr>
            </w:r>
            <w:r w:rsidR="002F4DCE">
              <w:rPr>
                <w:noProof/>
                <w:webHidden/>
              </w:rPr>
              <w:fldChar w:fldCharType="separate"/>
            </w:r>
            <w:r w:rsidR="00600BBD">
              <w:rPr>
                <w:noProof/>
                <w:webHidden/>
              </w:rPr>
              <w:t>63</w:t>
            </w:r>
            <w:r w:rsidR="002F4DCE">
              <w:rPr>
                <w:noProof/>
                <w:webHidden/>
              </w:rPr>
              <w:fldChar w:fldCharType="end"/>
            </w:r>
          </w:hyperlink>
        </w:p>
        <w:p w14:paraId="1822B9C9" w14:textId="7B47FC78" w:rsidR="002F4DCE" w:rsidRDefault="00000000">
          <w:pPr>
            <w:pStyle w:val="Verzeichnis3"/>
            <w:tabs>
              <w:tab w:val="left" w:pos="1320"/>
              <w:tab w:val="right" w:leader="underscore" w:pos="8494"/>
            </w:tabs>
            <w:rPr>
              <w:rFonts w:asciiTheme="minorHAnsi" w:hAnsiTheme="minorHAnsi"/>
              <w:noProof/>
              <w:sz w:val="22"/>
            </w:rPr>
          </w:pPr>
          <w:hyperlink w:anchor="_Toc121158676" w:history="1">
            <w:r w:rsidR="002F4DCE" w:rsidRPr="000655B4">
              <w:rPr>
                <w:rStyle w:val="Hyperlink"/>
                <w:noProof/>
              </w:rPr>
              <w:t>3.2.1</w:t>
            </w:r>
            <w:r w:rsidR="002F4DCE">
              <w:rPr>
                <w:rFonts w:asciiTheme="minorHAnsi" w:hAnsiTheme="minorHAnsi"/>
                <w:noProof/>
                <w:sz w:val="22"/>
              </w:rPr>
              <w:tab/>
            </w:r>
            <w:r w:rsidR="002F4DCE" w:rsidRPr="000655B4">
              <w:rPr>
                <w:rStyle w:val="Hyperlink"/>
                <w:noProof/>
              </w:rPr>
              <w:t>Morphologische Unterschiede zwischen Cal29 mit und ohne Mykoplasmen Infektion</w:t>
            </w:r>
            <w:r w:rsidR="002F4DCE">
              <w:rPr>
                <w:noProof/>
                <w:webHidden/>
              </w:rPr>
              <w:tab/>
            </w:r>
            <w:r w:rsidR="002F4DCE">
              <w:rPr>
                <w:noProof/>
                <w:webHidden/>
              </w:rPr>
              <w:fldChar w:fldCharType="begin"/>
            </w:r>
            <w:r w:rsidR="002F4DCE">
              <w:rPr>
                <w:noProof/>
                <w:webHidden/>
              </w:rPr>
              <w:instrText xml:space="preserve"> PAGEREF _Toc121158676 \h </w:instrText>
            </w:r>
            <w:r w:rsidR="002F4DCE">
              <w:rPr>
                <w:noProof/>
                <w:webHidden/>
              </w:rPr>
            </w:r>
            <w:r w:rsidR="002F4DCE">
              <w:rPr>
                <w:noProof/>
                <w:webHidden/>
              </w:rPr>
              <w:fldChar w:fldCharType="separate"/>
            </w:r>
            <w:r w:rsidR="00600BBD">
              <w:rPr>
                <w:noProof/>
                <w:webHidden/>
              </w:rPr>
              <w:t>64</w:t>
            </w:r>
            <w:r w:rsidR="002F4DCE">
              <w:rPr>
                <w:noProof/>
                <w:webHidden/>
              </w:rPr>
              <w:fldChar w:fldCharType="end"/>
            </w:r>
          </w:hyperlink>
        </w:p>
        <w:p w14:paraId="073E0374" w14:textId="03D4E823" w:rsidR="002F4DCE" w:rsidRDefault="00000000">
          <w:pPr>
            <w:pStyle w:val="Verzeichnis3"/>
            <w:tabs>
              <w:tab w:val="left" w:pos="1320"/>
              <w:tab w:val="right" w:leader="underscore" w:pos="8494"/>
            </w:tabs>
            <w:rPr>
              <w:rFonts w:asciiTheme="minorHAnsi" w:hAnsiTheme="minorHAnsi"/>
              <w:noProof/>
              <w:sz w:val="22"/>
            </w:rPr>
          </w:pPr>
          <w:hyperlink w:anchor="_Toc121158677" w:history="1">
            <w:r w:rsidR="002F4DCE" w:rsidRPr="000655B4">
              <w:rPr>
                <w:rStyle w:val="Hyperlink"/>
                <w:noProof/>
              </w:rPr>
              <w:t>3.2.2</w:t>
            </w:r>
            <w:r w:rsidR="002F4DCE">
              <w:rPr>
                <w:rFonts w:asciiTheme="minorHAnsi" w:hAnsiTheme="minorHAnsi"/>
                <w:noProof/>
                <w:sz w:val="22"/>
              </w:rPr>
              <w:tab/>
            </w:r>
            <w:r w:rsidR="002F4DCE" w:rsidRPr="000655B4">
              <w:rPr>
                <w:rStyle w:val="Hyperlink"/>
                <w:noProof/>
              </w:rPr>
              <w:t>Morphologische Unterschiede zwischen T24 mit und ohne Mykoplasmen Infektion</w:t>
            </w:r>
            <w:r w:rsidR="002F4DCE">
              <w:rPr>
                <w:noProof/>
                <w:webHidden/>
              </w:rPr>
              <w:tab/>
            </w:r>
            <w:r w:rsidR="002F4DCE">
              <w:rPr>
                <w:noProof/>
                <w:webHidden/>
              </w:rPr>
              <w:fldChar w:fldCharType="begin"/>
            </w:r>
            <w:r w:rsidR="002F4DCE">
              <w:rPr>
                <w:noProof/>
                <w:webHidden/>
              </w:rPr>
              <w:instrText xml:space="preserve"> PAGEREF _Toc121158677 \h </w:instrText>
            </w:r>
            <w:r w:rsidR="002F4DCE">
              <w:rPr>
                <w:noProof/>
                <w:webHidden/>
              </w:rPr>
            </w:r>
            <w:r w:rsidR="002F4DCE">
              <w:rPr>
                <w:noProof/>
                <w:webHidden/>
              </w:rPr>
              <w:fldChar w:fldCharType="separate"/>
            </w:r>
            <w:r w:rsidR="00600BBD">
              <w:rPr>
                <w:noProof/>
                <w:webHidden/>
              </w:rPr>
              <w:t>65</w:t>
            </w:r>
            <w:r w:rsidR="002F4DCE">
              <w:rPr>
                <w:noProof/>
                <w:webHidden/>
              </w:rPr>
              <w:fldChar w:fldCharType="end"/>
            </w:r>
          </w:hyperlink>
        </w:p>
        <w:p w14:paraId="71172BCA" w14:textId="6192F704" w:rsidR="002F4DCE" w:rsidRDefault="00000000">
          <w:pPr>
            <w:pStyle w:val="Verzeichnis3"/>
            <w:tabs>
              <w:tab w:val="left" w:pos="1320"/>
              <w:tab w:val="right" w:leader="underscore" w:pos="8494"/>
            </w:tabs>
            <w:rPr>
              <w:rFonts w:asciiTheme="minorHAnsi" w:hAnsiTheme="minorHAnsi"/>
              <w:noProof/>
              <w:sz w:val="22"/>
            </w:rPr>
          </w:pPr>
          <w:hyperlink w:anchor="_Toc121158678" w:history="1">
            <w:r w:rsidR="002F4DCE" w:rsidRPr="000655B4">
              <w:rPr>
                <w:rStyle w:val="Hyperlink"/>
                <w:noProof/>
              </w:rPr>
              <w:t>3.2.3</w:t>
            </w:r>
            <w:r w:rsidR="002F4DCE">
              <w:rPr>
                <w:rFonts w:asciiTheme="minorHAnsi" w:hAnsiTheme="minorHAnsi"/>
                <w:noProof/>
                <w:sz w:val="22"/>
              </w:rPr>
              <w:tab/>
            </w:r>
            <w:r w:rsidR="002F4DCE" w:rsidRPr="000655B4">
              <w:rPr>
                <w:rStyle w:val="Hyperlink"/>
                <w:noProof/>
              </w:rPr>
              <w:t>Morphologische Unterschiede zwischen HT1197 mit und ohne Mykoplasmen Infektion</w:t>
            </w:r>
            <w:r w:rsidR="002F4DCE">
              <w:rPr>
                <w:noProof/>
                <w:webHidden/>
              </w:rPr>
              <w:tab/>
            </w:r>
            <w:r w:rsidR="002F4DCE">
              <w:rPr>
                <w:noProof/>
                <w:webHidden/>
              </w:rPr>
              <w:fldChar w:fldCharType="begin"/>
            </w:r>
            <w:r w:rsidR="002F4DCE">
              <w:rPr>
                <w:noProof/>
                <w:webHidden/>
              </w:rPr>
              <w:instrText xml:space="preserve"> PAGEREF _Toc121158678 \h </w:instrText>
            </w:r>
            <w:r w:rsidR="002F4DCE">
              <w:rPr>
                <w:noProof/>
                <w:webHidden/>
              </w:rPr>
            </w:r>
            <w:r w:rsidR="002F4DCE">
              <w:rPr>
                <w:noProof/>
                <w:webHidden/>
              </w:rPr>
              <w:fldChar w:fldCharType="separate"/>
            </w:r>
            <w:r w:rsidR="00600BBD">
              <w:rPr>
                <w:noProof/>
                <w:webHidden/>
              </w:rPr>
              <w:t>67</w:t>
            </w:r>
            <w:r w:rsidR="002F4DCE">
              <w:rPr>
                <w:noProof/>
                <w:webHidden/>
              </w:rPr>
              <w:fldChar w:fldCharType="end"/>
            </w:r>
          </w:hyperlink>
        </w:p>
        <w:p w14:paraId="20F7DC7F" w14:textId="58CAEB5E" w:rsidR="002F4DCE" w:rsidRDefault="00000000">
          <w:pPr>
            <w:pStyle w:val="Verzeichnis3"/>
            <w:tabs>
              <w:tab w:val="left" w:pos="1320"/>
              <w:tab w:val="right" w:leader="underscore" w:pos="8494"/>
            </w:tabs>
            <w:rPr>
              <w:rFonts w:asciiTheme="minorHAnsi" w:hAnsiTheme="minorHAnsi"/>
              <w:noProof/>
              <w:sz w:val="22"/>
            </w:rPr>
          </w:pPr>
          <w:hyperlink w:anchor="_Toc121158679" w:history="1">
            <w:r w:rsidR="002F4DCE" w:rsidRPr="000655B4">
              <w:rPr>
                <w:rStyle w:val="Hyperlink"/>
                <w:noProof/>
              </w:rPr>
              <w:t>3.2.4</w:t>
            </w:r>
            <w:r w:rsidR="002F4DCE">
              <w:rPr>
                <w:rFonts w:asciiTheme="minorHAnsi" w:hAnsiTheme="minorHAnsi"/>
                <w:noProof/>
                <w:sz w:val="22"/>
              </w:rPr>
              <w:tab/>
            </w:r>
            <w:r w:rsidR="002F4DCE" w:rsidRPr="000655B4">
              <w:rPr>
                <w:rStyle w:val="Hyperlink"/>
                <w:noProof/>
              </w:rPr>
              <w:t>Morphologische Unterschiede zwischen aus Harnleitern isolierten Zellen mit und ohne Mykoplasmen Infektion</w:t>
            </w:r>
            <w:r w:rsidR="002F4DCE">
              <w:rPr>
                <w:noProof/>
                <w:webHidden/>
              </w:rPr>
              <w:tab/>
            </w:r>
            <w:r w:rsidR="002F4DCE">
              <w:rPr>
                <w:noProof/>
                <w:webHidden/>
              </w:rPr>
              <w:fldChar w:fldCharType="begin"/>
            </w:r>
            <w:r w:rsidR="002F4DCE">
              <w:rPr>
                <w:noProof/>
                <w:webHidden/>
              </w:rPr>
              <w:instrText xml:space="preserve"> PAGEREF _Toc121158679 \h </w:instrText>
            </w:r>
            <w:r w:rsidR="002F4DCE">
              <w:rPr>
                <w:noProof/>
                <w:webHidden/>
              </w:rPr>
            </w:r>
            <w:r w:rsidR="002F4DCE">
              <w:rPr>
                <w:noProof/>
                <w:webHidden/>
              </w:rPr>
              <w:fldChar w:fldCharType="separate"/>
            </w:r>
            <w:r w:rsidR="00600BBD">
              <w:rPr>
                <w:noProof/>
                <w:webHidden/>
              </w:rPr>
              <w:t>69</w:t>
            </w:r>
            <w:r w:rsidR="002F4DCE">
              <w:rPr>
                <w:noProof/>
                <w:webHidden/>
              </w:rPr>
              <w:fldChar w:fldCharType="end"/>
            </w:r>
          </w:hyperlink>
        </w:p>
        <w:p w14:paraId="5FD2AE34" w14:textId="5058254C" w:rsidR="002F4DCE" w:rsidRDefault="00000000">
          <w:pPr>
            <w:pStyle w:val="Verzeichnis2"/>
            <w:tabs>
              <w:tab w:val="left" w:pos="880"/>
              <w:tab w:val="right" w:leader="underscore" w:pos="8494"/>
            </w:tabs>
            <w:rPr>
              <w:rFonts w:asciiTheme="minorHAnsi" w:hAnsiTheme="minorHAnsi"/>
              <w:noProof/>
              <w:sz w:val="22"/>
            </w:rPr>
          </w:pPr>
          <w:hyperlink w:anchor="_Toc121158680" w:history="1">
            <w:r w:rsidR="002F4DCE" w:rsidRPr="000655B4">
              <w:rPr>
                <w:rStyle w:val="Hyperlink"/>
                <w:noProof/>
              </w:rPr>
              <w:t>3.3</w:t>
            </w:r>
            <w:r w:rsidR="002F4DCE">
              <w:rPr>
                <w:rFonts w:asciiTheme="minorHAnsi" w:hAnsiTheme="minorHAnsi"/>
                <w:noProof/>
                <w:sz w:val="22"/>
              </w:rPr>
              <w:tab/>
            </w:r>
            <w:r w:rsidR="002F4DCE" w:rsidRPr="000655B4">
              <w:rPr>
                <w:rStyle w:val="Hyperlink"/>
                <w:noProof/>
              </w:rPr>
              <w:t>Expression von CD276 auf mRNA Ebene bei mit Mykoplasmen infizierten Zellen im Vergleich mit Mykoplasmen freien Zellen</w:t>
            </w:r>
            <w:r w:rsidR="002F4DCE">
              <w:rPr>
                <w:noProof/>
                <w:webHidden/>
              </w:rPr>
              <w:tab/>
            </w:r>
            <w:r w:rsidR="002F4DCE">
              <w:rPr>
                <w:noProof/>
                <w:webHidden/>
              </w:rPr>
              <w:fldChar w:fldCharType="begin"/>
            </w:r>
            <w:r w:rsidR="002F4DCE">
              <w:rPr>
                <w:noProof/>
                <w:webHidden/>
              </w:rPr>
              <w:instrText xml:space="preserve"> PAGEREF _Toc121158680 \h </w:instrText>
            </w:r>
            <w:r w:rsidR="002F4DCE">
              <w:rPr>
                <w:noProof/>
                <w:webHidden/>
              </w:rPr>
            </w:r>
            <w:r w:rsidR="002F4DCE">
              <w:rPr>
                <w:noProof/>
                <w:webHidden/>
              </w:rPr>
              <w:fldChar w:fldCharType="separate"/>
            </w:r>
            <w:r w:rsidR="00600BBD">
              <w:rPr>
                <w:noProof/>
                <w:webHidden/>
              </w:rPr>
              <w:t>73</w:t>
            </w:r>
            <w:r w:rsidR="002F4DCE">
              <w:rPr>
                <w:noProof/>
                <w:webHidden/>
              </w:rPr>
              <w:fldChar w:fldCharType="end"/>
            </w:r>
          </w:hyperlink>
        </w:p>
        <w:p w14:paraId="3071F854" w14:textId="4E4411AD" w:rsidR="002F4DCE" w:rsidRDefault="00000000">
          <w:pPr>
            <w:pStyle w:val="Verzeichnis3"/>
            <w:tabs>
              <w:tab w:val="left" w:pos="1320"/>
              <w:tab w:val="right" w:leader="underscore" w:pos="8494"/>
            </w:tabs>
            <w:rPr>
              <w:rFonts w:asciiTheme="minorHAnsi" w:hAnsiTheme="minorHAnsi"/>
              <w:noProof/>
              <w:sz w:val="22"/>
            </w:rPr>
          </w:pPr>
          <w:hyperlink w:anchor="_Toc121158681" w:history="1">
            <w:r w:rsidR="002F4DCE" w:rsidRPr="000655B4">
              <w:rPr>
                <w:rStyle w:val="Hyperlink"/>
                <w:noProof/>
              </w:rPr>
              <w:t>3.3.1</w:t>
            </w:r>
            <w:r w:rsidR="002F4DCE">
              <w:rPr>
                <w:rFonts w:asciiTheme="minorHAnsi" w:hAnsiTheme="minorHAnsi"/>
                <w:noProof/>
                <w:sz w:val="22"/>
              </w:rPr>
              <w:tab/>
            </w:r>
            <w:r w:rsidR="002F4DCE" w:rsidRPr="000655B4">
              <w:rPr>
                <w:rStyle w:val="Hyperlink"/>
                <w:noProof/>
              </w:rPr>
              <w:t>CD276 mRNA Expression in Cal29 Zellen mit und ohne Mykoplasmen Infektion</w:t>
            </w:r>
            <w:r w:rsidR="002F4DCE">
              <w:rPr>
                <w:noProof/>
                <w:webHidden/>
              </w:rPr>
              <w:tab/>
            </w:r>
            <w:r w:rsidR="002F4DCE">
              <w:rPr>
                <w:noProof/>
                <w:webHidden/>
              </w:rPr>
              <w:fldChar w:fldCharType="begin"/>
            </w:r>
            <w:r w:rsidR="002F4DCE">
              <w:rPr>
                <w:noProof/>
                <w:webHidden/>
              </w:rPr>
              <w:instrText xml:space="preserve"> PAGEREF _Toc121158681 \h </w:instrText>
            </w:r>
            <w:r w:rsidR="002F4DCE">
              <w:rPr>
                <w:noProof/>
                <w:webHidden/>
              </w:rPr>
            </w:r>
            <w:r w:rsidR="002F4DCE">
              <w:rPr>
                <w:noProof/>
                <w:webHidden/>
              </w:rPr>
              <w:fldChar w:fldCharType="separate"/>
            </w:r>
            <w:r w:rsidR="00600BBD">
              <w:rPr>
                <w:noProof/>
                <w:webHidden/>
              </w:rPr>
              <w:t>73</w:t>
            </w:r>
            <w:r w:rsidR="002F4DCE">
              <w:rPr>
                <w:noProof/>
                <w:webHidden/>
              </w:rPr>
              <w:fldChar w:fldCharType="end"/>
            </w:r>
          </w:hyperlink>
        </w:p>
        <w:p w14:paraId="1F507686" w14:textId="1B80058B" w:rsidR="002F4DCE" w:rsidRDefault="00000000">
          <w:pPr>
            <w:pStyle w:val="Verzeichnis3"/>
            <w:tabs>
              <w:tab w:val="left" w:pos="1320"/>
              <w:tab w:val="right" w:leader="underscore" w:pos="8494"/>
            </w:tabs>
            <w:rPr>
              <w:rFonts w:asciiTheme="minorHAnsi" w:hAnsiTheme="minorHAnsi"/>
              <w:noProof/>
              <w:sz w:val="22"/>
            </w:rPr>
          </w:pPr>
          <w:hyperlink w:anchor="_Toc121158682" w:history="1">
            <w:r w:rsidR="002F4DCE" w:rsidRPr="000655B4">
              <w:rPr>
                <w:rStyle w:val="Hyperlink"/>
                <w:noProof/>
              </w:rPr>
              <w:t>3.3.2</w:t>
            </w:r>
            <w:r w:rsidR="002F4DCE">
              <w:rPr>
                <w:rFonts w:asciiTheme="minorHAnsi" w:hAnsiTheme="minorHAnsi"/>
                <w:noProof/>
                <w:sz w:val="22"/>
              </w:rPr>
              <w:tab/>
            </w:r>
            <w:r w:rsidR="002F4DCE" w:rsidRPr="000655B4">
              <w:rPr>
                <w:rStyle w:val="Hyperlink"/>
                <w:noProof/>
              </w:rPr>
              <w:t>CD276 mRNA Expression in den aus Harnleitern isolierten Zellen HL 20/31 und HL 20/32</w:t>
            </w:r>
            <w:r w:rsidR="002F4DCE">
              <w:rPr>
                <w:noProof/>
                <w:webHidden/>
              </w:rPr>
              <w:tab/>
            </w:r>
            <w:r w:rsidR="002F4DCE">
              <w:rPr>
                <w:noProof/>
                <w:webHidden/>
              </w:rPr>
              <w:fldChar w:fldCharType="begin"/>
            </w:r>
            <w:r w:rsidR="002F4DCE">
              <w:rPr>
                <w:noProof/>
                <w:webHidden/>
              </w:rPr>
              <w:instrText xml:space="preserve"> PAGEREF _Toc121158682 \h </w:instrText>
            </w:r>
            <w:r w:rsidR="002F4DCE">
              <w:rPr>
                <w:noProof/>
                <w:webHidden/>
              </w:rPr>
            </w:r>
            <w:r w:rsidR="002F4DCE">
              <w:rPr>
                <w:noProof/>
                <w:webHidden/>
              </w:rPr>
              <w:fldChar w:fldCharType="separate"/>
            </w:r>
            <w:r w:rsidR="00600BBD">
              <w:rPr>
                <w:noProof/>
                <w:webHidden/>
              </w:rPr>
              <w:t>77</w:t>
            </w:r>
            <w:r w:rsidR="002F4DCE">
              <w:rPr>
                <w:noProof/>
                <w:webHidden/>
              </w:rPr>
              <w:fldChar w:fldCharType="end"/>
            </w:r>
          </w:hyperlink>
        </w:p>
        <w:p w14:paraId="6CDFBB82" w14:textId="4AD229C3" w:rsidR="002F4DCE" w:rsidRDefault="00000000">
          <w:pPr>
            <w:pStyle w:val="Verzeichnis2"/>
            <w:tabs>
              <w:tab w:val="left" w:pos="880"/>
              <w:tab w:val="right" w:leader="underscore" w:pos="8494"/>
            </w:tabs>
            <w:rPr>
              <w:rFonts w:asciiTheme="minorHAnsi" w:hAnsiTheme="minorHAnsi"/>
              <w:noProof/>
              <w:sz w:val="22"/>
            </w:rPr>
          </w:pPr>
          <w:hyperlink w:anchor="_Toc121158683" w:history="1">
            <w:r w:rsidR="002F4DCE" w:rsidRPr="000655B4">
              <w:rPr>
                <w:rStyle w:val="Hyperlink"/>
                <w:noProof/>
              </w:rPr>
              <w:t>3.4</w:t>
            </w:r>
            <w:r w:rsidR="002F4DCE">
              <w:rPr>
                <w:rFonts w:asciiTheme="minorHAnsi" w:hAnsiTheme="minorHAnsi"/>
                <w:noProof/>
                <w:sz w:val="22"/>
              </w:rPr>
              <w:tab/>
            </w:r>
            <w:r w:rsidR="002F4DCE" w:rsidRPr="000655B4">
              <w:rPr>
                <w:rStyle w:val="Hyperlink"/>
                <w:noProof/>
              </w:rPr>
              <w:t>Expression von CD276 auf Proteinebene bei nicht-infizierten sowie mit Mykoplasmen infizierten Zellen</w:t>
            </w:r>
            <w:r w:rsidR="002F4DCE">
              <w:rPr>
                <w:noProof/>
                <w:webHidden/>
              </w:rPr>
              <w:tab/>
            </w:r>
            <w:r w:rsidR="002F4DCE">
              <w:rPr>
                <w:noProof/>
                <w:webHidden/>
              </w:rPr>
              <w:fldChar w:fldCharType="begin"/>
            </w:r>
            <w:r w:rsidR="002F4DCE">
              <w:rPr>
                <w:noProof/>
                <w:webHidden/>
              </w:rPr>
              <w:instrText xml:space="preserve"> PAGEREF _Toc121158683 \h </w:instrText>
            </w:r>
            <w:r w:rsidR="002F4DCE">
              <w:rPr>
                <w:noProof/>
                <w:webHidden/>
              </w:rPr>
            </w:r>
            <w:r w:rsidR="002F4DCE">
              <w:rPr>
                <w:noProof/>
                <w:webHidden/>
              </w:rPr>
              <w:fldChar w:fldCharType="separate"/>
            </w:r>
            <w:r w:rsidR="00600BBD">
              <w:rPr>
                <w:noProof/>
                <w:webHidden/>
              </w:rPr>
              <w:t>79</w:t>
            </w:r>
            <w:r w:rsidR="002F4DCE">
              <w:rPr>
                <w:noProof/>
                <w:webHidden/>
              </w:rPr>
              <w:fldChar w:fldCharType="end"/>
            </w:r>
          </w:hyperlink>
        </w:p>
        <w:p w14:paraId="5E295958" w14:textId="354EAC4D" w:rsidR="002F4DCE" w:rsidRDefault="00000000">
          <w:pPr>
            <w:pStyle w:val="Verzeichnis2"/>
            <w:tabs>
              <w:tab w:val="left" w:pos="880"/>
              <w:tab w:val="right" w:leader="underscore" w:pos="8494"/>
            </w:tabs>
            <w:rPr>
              <w:rFonts w:asciiTheme="minorHAnsi" w:hAnsiTheme="minorHAnsi"/>
              <w:noProof/>
              <w:sz w:val="22"/>
            </w:rPr>
          </w:pPr>
          <w:hyperlink w:anchor="_Toc121158684" w:history="1">
            <w:r w:rsidR="002F4DCE" w:rsidRPr="000655B4">
              <w:rPr>
                <w:rStyle w:val="Hyperlink"/>
                <w:noProof/>
              </w:rPr>
              <w:t>3.5</w:t>
            </w:r>
            <w:r w:rsidR="002F4DCE">
              <w:rPr>
                <w:rFonts w:asciiTheme="minorHAnsi" w:hAnsiTheme="minorHAnsi"/>
                <w:noProof/>
                <w:sz w:val="22"/>
              </w:rPr>
              <w:tab/>
            </w:r>
            <w:r w:rsidR="002F4DCE" w:rsidRPr="000655B4">
              <w:rPr>
                <w:rStyle w:val="Hyperlink"/>
                <w:noProof/>
              </w:rPr>
              <w:t>Expression von CD276 an der Oberfläche von Mykoplasmen infizierten Urothelzellen im Vergleich mit nicht-infizierten Urothelzellen</w:t>
            </w:r>
            <w:r w:rsidR="002F4DCE">
              <w:rPr>
                <w:noProof/>
                <w:webHidden/>
              </w:rPr>
              <w:tab/>
            </w:r>
            <w:r w:rsidR="002F4DCE">
              <w:rPr>
                <w:noProof/>
                <w:webHidden/>
              </w:rPr>
              <w:fldChar w:fldCharType="begin"/>
            </w:r>
            <w:r w:rsidR="002F4DCE">
              <w:rPr>
                <w:noProof/>
                <w:webHidden/>
              </w:rPr>
              <w:instrText xml:space="preserve"> PAGEREF _Toc121158684 \h </w:instrText>
            </w:r>
            <w:r w:rsidR="002F4DCE">
              <w:rPr>
                <w:noProof/>
                <w:webHidden/>
              </w:rPr>
            </w:r>
            <w:r w:rsidR="002F4DCE">
              <w:rPr>
                <w:noProof/>
                <w:webHidden/>
              </w:rPr>
              <w:fldChar w:fldCharType="separate"/>
            </w:r>
            <w:r w:rsidR="00600BBD">
              <w:rPr>
                <w:noProof/>
                <w:webHidden/>
              </w:rPr>
              <w:t>85</w:t>
            </w:r>
            <w:r w:rsidR="002F4DCE">
              <w:rPr>
                <w:noProof/>
                <w:webHidden/>
              </w:rPr>
              <w:fldChar w:fldCharType="end"/>
            </w:r>
          </w:hyperlink>
        </w:p>
        <w:p w14:paraId="73556D31" w14:textId="517BAE46" w:rsidR="002F4DCE" w:rsidRDefault="00000000">
          <w:pPr>
            <w:pStyle w:val="Verzeichnis2"/>
            <w:tabs>
              <w:tab w:val="left" w:pos="880"/>
              <w:tab w:val="right" w:leader="underscore" w:pos="8494"/>
            </w:tabs>
            <w:rPr>
              <w:rFonts w:asciiTheme="minorHAnsi" w:hAnsiTheme="minorHAnsi"/>
              <w:noProof/>
              <w:sz w:val="22"/>
            </w:rPr>
          </w:pPr>
          <w:hyperlink w:anchor="_Toc121158685" w:history="1">
            <w:r w:rsidR="002F4DCE" w:rsidRPr="000655B4">
              <w:rPr>
                <w:rStyle w:val="Hyperlink"/>
                <w:noProof/>
              </w:rPr>
              <w:t>3.6</w:t>
            </w:r>
            <w:r w:rsidR="002F4DCE">
              <w:rPr>
                <w:rFonts w:asciiTheme="minorHAnsi" w:hAnsiTheme="minorHAnsi"/>
                <w:noProof/>
                <w:sz w:val="22"/>
              </w:rPr>
              <w:tab/>
            </w:r>
            <w:r w:rsidR="002F4DCE" w:rsidRPr="000655B4">
              <w:rPr>
                <w:rStyle w:val="Hyperlink"/>
                <w:noProof/>
              </w:rPr>
              <w:t>Zusammenfassung und Überblick der Ergebnisse</w:t>
            </w:r>
            <w:r w:rsidR="002F4DCE">
              <w:rPr>
                <w:noProof/>
                <w:webHidden/>
              </w:rPr>
              <w:tab/>
            </w:r>
            <w:r w:rsidR="002F4DCE">
              <w:rPr>
                <w:noProof/>
                <w:webHidden/>
              </w:rPr>
              <w:fldChar w:fldCharType="begin"/>
            </w:r>
            <w:r w:rsidR="002F4DCE">
              <w:rPr>
                <w:noProof/>
                <w:webHidden/>
              </w:rPr>
              <w:instrText xml:space="preserve"> PAGEREF _Toc121158685 \h </w:instrText>
            </w:r>
            <w:r w:rsidR="002F4DCE">
              <w:rPr>
                <w:noProof/>
                <w:webHidden/>
              </w:rPr>
            </w:r>
            <w:r w:rsidR="002F4DCE">
              <w:rPr>
                <w:noProof/>
                <w:webHidden/>
              </w:rPr>
              <w:fldChar w:fldCharType="separate"/>
            </w:r>
            <w:r w:rsidR="00600BBD">
              <w:rPr>
                <w:noProof/>
                <w:webHidden/>
              </w:rPr>
              <w:t>88</w:t>
            </w:r>
            <w:r w:rsidR="002F4DCE">
              <w:rPr>
                <w:noProof/>
                <w:webHidden/>
              </w:rPr>
              <w:fldChar w:fldCharType="end"/>
            </w:r>
          </w:hyperlink>
        </w:p>
        <w:p w14:paraId="2F4AE40B" w14:textId="0660927B" w:rsidR="002F4DCE" w:rsidRDefault="00000000">
          <w:pPr>
            <w:pStyle w:val="Verzeichnis1"/>
            <w:tabs>
              <w:tab w:val="left" w:pos="440"/>
              <w:tab w:val="right" w:leader="underscore" w:pos="8494"/>
            </w:tabs>
            <w:rPr>
              <w:rFonts w:asciiTheme="minorHAnsi" w:hAnsiTheme="minorHAnsi"/>
              <w:noProof/>
              <w:sz w:val="22"/>
            </w:rPr>
          </w:pPr>
          <w:hyperlink w:anchor="_Toc121158686" w:history="1">
            <w:r w:rsidR="002F4DCE" w:rsidRPr="000655B4">
              <w:rPr>
                <w:rStyle w:val="Hyperlink"/>
                <w:noProof/>
              </w:rPr>
              <w:t>4</w:t>
            </w:r>
            <w:r w:rsidR="002F4DCE">
              <w:rPr>
                <w:rFonts w:asciiTheme="minorHAnsi" w:hAnsiTheme="minorHAnsi"/>
                <w:noProof/>
                <w:sz w:val="22"/>
              </w:rPr>
              <w:tab/>
            </w:r>
            <w:r w:rsidR="002F4DCE" w:rsidRPr="000655B4">
              <w:rPr>
                <w:rStyle w:val="Hyperlink"/>
                <w:noProof/>
              </w:rPr>
              <w:t>Diskussion</w:t>
            </w:r>
            <w:r w:rsidR="002F4DCE">
              <w:rPr>
                <w:noProof/>
                <w:webHidden/>
              </w:rPr>
              <w:tab/>
            </w:r>
            <w:r w:rsidR="002F4DCE">
              <w:rPr>
                <w:noProof/>
                <w:webHidden/>
              </w:rPr>
              <w:fldChar w:fldCharType="begin"/>
            </w:r>
            <w:r w:rsidR="002F4DCE">
              <w:rPr>
                <w:noProof/>
                <w:webHidden/>
              </w:rPr>
              <w:instrText xml:space="preserve"> PAGEREF _Toc121158686 \h </w:instrText>
            </w:r>
            <w:r w:rsidR="002F4DCE">
              <w:rPr>
                <w:noProof/>
                <w:webHidden/>
              </w:rPr>
            </w:r>
            <w:r w:rsidR="002F4DCE">
              <w:rPr>
                <w:noProof/>
                <w:webHidden/>
              </w:rPr>
              <w:fldChar w:fldCharType="separate"/>
            </w:r>
            <w:r w:rsidR="00600BBD">
              <w:rPr>
                <w:noProof/>
                <w:webHidden/>
              </w:rPr>
              <w:t>91</w:t>
            </w:r>
            <w:r w:rsidR="002F4DCE">
              <w:rPr>
                <w:noProof/>
                <w:webHidden/>
              </w:rPr>
              <w:fldChar w:fldCharType="end"/>
            </w:r>
          </w:hyperlink>
        </w:p>
        <w:p w14:paraId="671B3B8E" w14:textId="51D6DDE0" w:rsidR="002F4DCE" w:rsidRDefault="00000000">
          <w:pPr>
            <w:pStyle w:val="Verzeichnis2"/>
            <w:tabs>
              <w:tab w:val="left" w:pos="880"/>
              <w:tab w:val="right" w:leader="underscore" w:pos="8494"/>
            </w:tabs>
            <w:rPr>
              <w:rFonts w:asciiTheme="minorHAnsi" w:hAnsiTheme="minorHAnsi"/>
              <w:noProof/>
              <w:sz w:val="22"/>
            </w:rPr>
          </w:pPr>
          <w:hyperlink w:anchor="_Toc121158687" w:history="1">
            <w:r w:rsidR="002F4DCE" w:rsidRPr="000655B4">
              <w:rPr>
                <w:rStyle w:val="Hyperlink"/>
                <w:noProof/>
              </w:rPr>
              <w:t>4.1</w:t>
            </w:r>
            <w:r w:rsidR="002F4DCE">
              <w:rPr>
                <w:rFonts w:asciiTheme="minorHAnsi" w:hAnsiTheme="minorHAnsi"/>
                <w:noProof/>
                <w:sz w:val="22"/>
              </w:rPr>
              <w:tab/>
            </w:r>
            <w:r w:rsidR="002F4DCE" w:rsidRPr="000655B4">
              <w:rPr>
                <w:rStyle w:val="Hyperlink"/>
                <w:noProof/>
              </w:rPr>
              <w:t>Diskussion der Ergebnisse</w:t>
            </w:r>
            <w:r w:rsidR="002F4DCE">
              <w:rPr>
                <w:noProof/>
                <w:webHidden/>
              </w:rPr>
              <w:tab/>
            </w:r>
            <w:r w:rsidR="002F4DCE">
              <w:rPr>
                <w:noProof/>
                <w:webHidden/>
              </w:rPr>
              <w:fldChar w:fldCharType="begin"/>
            </w:r>
            <w:r w:rsidR="002F4DCE">
              <w:rPr>
                <w:noProof/>
                <w:webHidden/>
              </w:rPr>
              <w:instrText xml:space="preserve"> PAGEREF _Toc121158687 \h </w:instrText>
            </w:r>
            <w:r w:rsidR="002F4DCE">
              <w:rPr>
                <w:noProof/>
                <w:webHidden/>
              </w:rPr>
            </w:r>
            <w:r w:rsidR="002F4DCE">
              <w:rPr>
                <w:noProof/>
                <w:webHidden/>
              </w:rPr>
              <w:fldChar w:fldCharType="separate"/>
            </w:r>
            <w:r w:rsidR="00600BBD">
              <w:rPr>
                <w:noProof/>
                <w:webHidden/>
              </w:rPr>
              <w:t>92</w:t>
            </w:r>
            <w:r w:rsidR="002F4DCE">
              <w:rPr>
                <w:noProof/>
                <w:webHidden/>
              </w:rPr>
              <w:fldChar w:fldCharType="end"/>
            </w:r>
          </w:hyperlink>
        </w:p>
        <w:p w14:paraId="1AC8B451" w14:textId="238B40D8" w:rsidR="002F4DCE" w:rsidRDefault="00000000">
          <w:pPr>
            <w:pStyle w:val="Verzeichnis3"/>
            <w:tabs>
              <w:tab w:val="left" w:pos="1320"/>
              <w:tab w:val="right" w:leader="underscore" w:pos="8494"/>
            </w:tabs>
            <w:rPr>
              <w:rFonts w:asciiTheme="minorHAnsi" w:hAnsiTheme="minorHAnsi"/>
              <w:noProof/>
              <w:sz w:val="22"/>
            </w:rPr>
          </w:pPr>
          <w:hyperlink w:anchor="_Toc121158688" w:history="1">
            <w:r w:rsidR="002F4DCE" w:rsidRPr="000655B4">
              <w:rPr>
                <w:rStyle w:val="Hyperlink"/>
                <w:noProof/>
              </w:rPr>
              <w:t>4.1.1</w:t>
            </w:r>
            <w:r w:rsidR="002F4DCE">
              <w:rPr>
                <w:rFonts w:asciiTheme="minorHAnsi" w:hAnsiTheme="minorHAnsi"/>
                <w:noProof/>
                <w:sz w:val="22"/>
              </w:rPr>
              <w:tab/>
            </w:r>
            <w:r w:rsidR="002F4DCE" w:rsidRPr="000655B4">
              <w:rPr>
                <w:rStyle w:val="Hyperlink"/>
                <w:noProof/>
              </w:rPr>
              <w:t>Morphologische und Replikationsraten Unterschiede</w:t>
            </w:r>
            <w:r w:rsidR="002F4DCE">
              <w:rPr>
                <w:noProof/>
                <w:webHidden/>
              </w:rPr>
              <w:tab/>
            </w:r>
            <w:r w:rsidR="002F4DCE">
              <w:rPr>
                <w:noProof/>
                <w:webHidden/>
              </w:rPr>
              <w:fldChar w:fldCharType="begin"/>
            </w:r>
            <w:r w:rsidR="002F4DCE">
              <w:rPr>
                <w:noProof/>
                <w:webHidden/>
              </w:rPr>
              <w:instrText xml:space="preserve"> PAGEREF _Toc121158688 \h </w:instrText>
            </w:r>
            <w:r w:rsidR="002F4DCE">
              <w:rPr>
                <w:noProof/>
                <w:webHidden/>
              </w:rPr>
            </w:r>
            <w:r w:rsidR="002F4DCE">
              <w:rPr>
                <w:noProof/>
                <w:webHidden/>
              </w:rPr>
              <w:fldChar w:fldCharType="separate"/>
            </w:r>
            <w:r w:rsidR="00600BBD">
              <w:rPr>
                <w:noProof/>
                <w:webHidden/>
              </w:rPr>
              <w:t>92</w:t>
            </w:r>
            <w:r w:rsidR="002F4DCE">
              <w:rPr>
                <w:noProof/>
                <w:webHidden/>
              </w:rPr>
              <w:fldChar w:fldCharType="end"/>
            </w:r>
          </w:hyperlink>
        </w:p>
        <w:p w14:paraId="20BA5953" w14:textId="271AC3FE" w:rsidR="002F4DCE" w:rsidRDefault="00000000">
          <w:pPr>
            <w:pStyle w:val="Verzeichnis3"/>
            <w:tabs>
              <w:tab w:val="left" w:pos="1320"/>
              <w:tab w:val="right" w:leader="underscore" w:pos="8494"/>
            </w:tabs>
            <w:rPr>
              <w:rFonts w:asciiTheme="minorHAnsi" w:hAnsiTheme="minorHAnsi"/>
              <w:noProof/>
              <w:sz w:val="22"/>
            </w:rPr>
          </w:pPr>
          <w:hyperlink w:anchor="_Toc121158689" w:history="1">
            <w:r w:rsidR="002F4DCE" w:rsidRPr="000655B4">
              <w:rPr>
                <w:rStyle w:val="Hyperlink"/>
                <w:noProof/>
              </w:rPr>
              <w:t>4.1.2</w:t>
            </w:r>
            <w:r w:rsidR="002F4DCE">
              <w:rPr>
                <w:rFonts w:asciiTheme="minorHAnsi" w:hAnsiTheme="minorHAnsi"/>
                <w:noProof/>
                <w:sz w:val="22"/>
              </w:rPr>
              <w:tab/>
            </w:r>
            <w:r w:rsidR="002F4DCE" w:rsidRPr="000655B4">
              <w:rPr>
                <w:rStyle w:val="Hyperlink"/>
                <w:noProof/>
              </w:rPr>
              <w:t>Unterschiede in der CD276 Gen- und Proteinexpression durch eine Mykoplasmeninfektion</w:t>
            </w:r>
            <w:r w:rsidR="002F4DCE">
              <w:rPr>
                <w:noProof/>
                <w:webHidden/>
              </w:rPr>
              <w:tab/>
            </w:r>
            <w:r w:rsidR="002F4DCE">
              <w:rPr>
                <w:noProof/>
                <w:webHidden/>
              </w:rPr>
              <w:fldChar w:fldCharType="begin"/>
            </w:r>
            <w:r w:rsidR="002F4DCE">
              <w:rPr>
                <w:noProof/>
                <w:webHidden/>
              </w:rPr>
              <w:instrText xml:space="preserve"> PAGEREF _Toc121158689 \h </w:instrText>
            </w:r>
            <w:r w:rsidR="002F4DCE">
              <w:rPr>
                <w:noProof/>
                <w:webHidden/>
              </w:rPr>
            </w:r>
            <w:r w:rsidR="002F4DCE">
              <w:rPr>
                <w:noProof/>
                <w:webHidden/>
              </w:rPr>
              <w:fldChar w:fldCharType="separate"/>
            </w:r>
            <w:r w:rsidR="00600BBD">
              <w:rPr>
                <w:noProof/>
                <w:webHidden/>
              </w:rPr>
              <w:t>93</w:t>
            </w:r>
            <w:r w:rsidR="002F4DCE">
              <w:rPr>
                <w:noProof/>
                <w:webHidden/>
              </w:rPr>
              <w:fldChar w:fldCharType="end"/>
            </w:r>
          </w:hyperlink>
        </w:p>
        <w:p w14:paraId="28018D16" w14:textId="7E408776" w:rsidR="002F4DCE" w:rsidRDefault="00000000">
          <w:pPr>
            <w:pStyle w:val="Verzeichnis2"/>
            <w:tabs>
              <w:tab w:val="left" w:pos="880"/>
              <w:tab w:val="right" w:leader="underscore" w:pos="8494"/>
            </w:tabs>
            <w:rPr>
              <w:rFonts w:asciiTheme="minorHAnsi" w:hAnsiTheme="minorHAnsi"/>
              <w:noProof/>
              <w:sz w:val="22"/>
            </w:rPr>
          </w:pPr>
          <w:hyperlink w:anchor="_Toc121158690" w:history="1">
            <w:r w:rsidR="002F4DCE" w:rsidRPr="000655B4">
              <w:rPr>
                <w:rStyle w:val="Hyperlink"/>
                <w:noProof/>
              </w:rPr>
              <w:t>4.2</w:t>
            </w:r>
            <w:r w:rsidR="002F4DCE">
              <w:rPr>
                <w:rFonts w:asciiTheme="minorHAnsi" w:hAnsiTheme="minorHAnsi"/>
                <w:noProof/>
                <w:sz w:val="22"/>
              </w:rPr>
              <w:tab/>
            </w:r>
            <w:r w:rsidR="002F4DCE" w:rsidRPr="000655B4">
              <w:rPr>
                <w:rStyle w:val="Hyperlink"/>
                <w:noProof/>
              </w:rPr>
              <w:t>Diskussion des Materials und der Methoden</w:t>
            </w:r>
            <w:r w:rsidR="002F4DCE">
              <w:rPr>
                <w:noProof/>
                <w:webHidden/>
              </w:rPr>
              <w:tab/>
            </w:r>
            <w:r w:rsidR="002F4DCE">
              <w:rPr>
                <w:noProof/>
                <w:webHidden/>
              </w:rPr>
              <w:fldChar w:fldCharType="begin"/>
            </w:r>
            <w:r w:rsidR="002F4DCE">
              <w:rPr>
                <w:noProof/>
                <w:webHidden/>
              </w:rPr>
              <w:instrText xml:space="preserve"> PAGEREF _Toc121158690 \h </w:instrText>
            </w:r>
            <w:r w:rsidR="002F4DCE">
              <w:rPr>
                <w:noProof/>
                <w:webHidden/>
              </w:rPr>
            </w:r>
            <w:r w:rsidR="002F4DCE">
              <w:rPr>
                <w:noProof/>
                <w:webHidden/>
              </w:rPr>
              <w:fldChar w:fldCharType="separate"/>
            </w:r>
            <w:r w:rsidR="00600BBD">
              <w:rPr>
                <w:noProof/>
                <w:webHidden/>
              </w:rPr>
              <w:t>96</w:t>
            </w:r>
            <w:r w:rsidR="002F4DCE">
              <w:rPr>
                <w:noProof/>
                <w:webHidden/>
              </w:rPr>
              <w:fldChar w:fldCharType="end"/>
            </w:r>
          </w:hyperlink>
        </w:p>
        <w:p w14:paraId="5E8E46DA" w14:textId="01AF08D7" w:rsidR="002F4DCE" w:rsidRDefault="00000000">
          <w:pPr>
            <w:pStyle w:val="Verzeichnis3"/>
            <w:tabs>
              <w:tab w:val="left" w:pos="1320"/>
              <w:tab w:val="right" w:leader="underscore" w:pos="8494"/>
            </w:tabs>
            <w:rPr>
              <w:rFonts w:asciiTheme="minorHAnsi" w:hAnsiTheme="minorHAnsi"/>
              <w:noProof/>
              <w:sz w:val="22"/>
            </w:rPr>
          </w:pPr>
          <w:hyperlink w:anchor="_Toc121158691" w:history="1">
            <w:r w:rsidR="002F4DCE" w:rsidRPr="000655B4">
              <w:rPr>
                <w:rStyle w:val="Hyperlink"/>
                <w:noProof/>
              </w:rPr>
              <w:t>4.2.1</w:t>
            </w:r>
            <w:r w:rsidR="002F4DCE">
              <w:rPr>
                <w:rFonts w:asciiTheme="minorHAnsi" w:hAnsiTheme="minorHAnsi"/>
                <w:noProof/>
                <w:sz w:val="22"/>
              </w:rPr>
              <w:tab/>
            </w:r>
            <w:r w:rsidR="002F4DCE" w:rsidRPr="000655B4">
              <w:rPr>
                <w:rStyle w:val="Hyperlink"/>
                <w:noProof/>
              </w:rPr>
              <w:t>Nachweis der Infektion mit Mykoplasmen</w:t>
            </w:r>
            <w:r w:rsidR="002F4DCE">
              <w:rPr>
                <w:noProof/>
                <w:webHidden/>
              </w:rPr>
              <w:tab/>
            </w:r>
            <w:r w:rsidR="002F4DCE">
              <w:rPr>
                <w:noProof/>
                <w:webHidden/>
              </w:rPr>
              <w:fldChar w:fldCharType="begin"/>
            </w:r>
            <w:r w:rsidR="002F4DCE">
              <w:rPr>
                <w:noProof/>
                <w:webHidden/>
              </w:rPr>
              <w:instrText xml:space="preserve"> PAGEREF _Toc121158691 \h </w:instrText>
            </w:r>
            <w:r w:rsidR="002F4DCE">
              <w:rPr>
                <w:noProof/>
                <w:webHidden/>
              </w:rPr>
            </w:r>
            <w:r w:rsidR="002F4DCE">
              <w:rPr>
                <w:noProof/>
                <w:webHidden/>
              </w:rPr>
              <w:fldChar w:fldCharType="separate"/>
            </w:r>
            <w:r w:rsidR="00600BBD">
              <w:rPr>
                <w:noProof/>
                <w:webHidden/>
              </w:rPr>
              <w:t>96</w:t>
            </w:r>
            <w:r w:rsidR="002F4DCE">
              <w:rPr>
                <w:noProof/>
                <w:webHidden/>
              </w:rPr>
              <w:fldChar w:fldCharType="end"/>
            </w:r>
          </w:hyperlink>
        </w:p>
        <w:p w14:paraId="13410C70" w14:textId="28A8ECEF" w:rsidR="002F4DCE" w:rsidRDefault="00000000">
          <w:pPr>
            <w:pStyle w:val="Verzeichnis3"/>
            <w:tabs>
              <w:tab w:val="left" w:pos="1320"/>
              <w:tab w:val="right" w:leader="underscore" w:pos="8494"/>
            </w:tabs>
            <w:rPr>
              <w:rFonts w:asciiTheme="minorHAnsi" w:hAnsiTheme="minorHAnsi"/>
              <w:noProof/>
              <w:sz w:val="22"/>
            </w:rPr>
          </w:pPr>
          <w:hyperlink w:anchor="_Toc121158692" w:history="1">
            <w:r w:rsidR="002F4DCE" w:rsidRPr="000655B4">
              <w:rPr>
                <w:rStyle w:val="Hyperlink"/>
                <w:noProof/>
              </w:rPr>
              <w:t>4.2.2</w:t>
            </w:r>
            <w:r w:rsidR="002F4DCE">
              <w:rPr>
                <w:rFonts w:asciiTheme="minorHAnsi" w:hAnsiTheme="minorHAnsi"/>
                <w:noProof/>
                <w:sz w:val="22"/>
              </w:rPr>
              <w:tab/>
            </w:r>
            <w:r w:rsidR="002F4DCE" w:rsidRPr="000655B4">
              <w:rPr>
                <w:rStyle w:val="Hyperlink"/>
                <w:noProof/>
              </w:rPr>
              <w:t>In vitro Einfluss von Mykoplasmen auf die Expression von CD276</w:t>
            </w:r>
            <w:r w:rsidR="002F4DCE">
              <w:rPr>
                <w:noProof/>
                <w:webHidden/>
              </w:rPr>
              <w:tab/>
            </w:r>
            <w:r w:rsidR="002F4DCE">
              <w:rPr>
                <w:noProof/>
                <w:webHidden/>
              </w:rPr>
              <w:fldChar w:fldCharType="begin"/>
            </w:r>
            <w:r w:rsidR="002F4DCE">
              <w:rPr>
                <w:noProof/>
                <w:webHidden/>
              </w:rPr>
              <w:instrText xml:space="preserve"> PAGEREF _Toc121158692 \h </w:instrText>
            </w:r>
            <w:r w:rsidR="002F4DCE">
              <w:rPr>
                <w:noProof/>
                <w:webHidden/>
              </w:rPr>
            </w:r>
            <w:r w:rsidR="002F4DCE">
              <w:rPr>
                <w:noProof/>
                <w:webHidden/>
              </w:rPr>
              <w:fldChar w:fldCharType="separate"/>
            </w:r>
            <w:r w:rsidR="00600BBD">
              <w:rPr>
                <w:noProof/>
                <w:webHidden/>
              </w:rPr>
              <w:t>97</w:t>
            </w:r>
            <w:r w:rsidR="002F4DCE">
              <w:rPr>
                <w:noProof/>
                <w:webHidden/>
              </w:rPr>
              <w:fldChar w:fldCharType="end"/>
            </w:r>
          </w:hyperlink>
        </w:p>
        <w:p w14:paraId="4186E61A" w14:textId="6A2CED9A" w:rsidR="002F4DCE" w:rsidRDefault="00000000">
          <w:pPr>
            <w:pStyle w:val="Verzeichnis3"/>
            <w:tabs>
              <w:tab w:val="left" w:pos="1320"/>
              <w:tab w:val="right" w:leader="underscore" w:pos="8494"/>
            </w:tabs>
            <w:rPr>
              <w:rFonts w:asciiTheme="minorHAnsi" w:hAnsiTheme="minorHAnsi"/>
              <w:noProof/>
              <w:sz w:val="22"/>
            </w:rPr>
          </w:pPr>
          <w:hyperlink w:anchor="_Toc121158693" w:history="1">
            <w:r w:rsidR="002F4DCE" w:rsidRPr="000655B4">
              <w:rPr>
                <w:rStyle w:val="Hyperlink"/>
                <w:noProof/>
              </w:rPr>
              <w:t>4.2.3</w:t>
            </w:r>
            <w:r w:rsidR="002F4DCE">
              <w:rPr>
                <w:rFonts w:asciiTheme="minorHAnsi" w:hAnsiTheme="minorHAnsi"/>
                <w:noProof/>
                <w:sz w:val="22"/>
              </w:rPr>
              <w:tab/>
            </w:r>
            <w:r w:rsidR="002F4DCE" w:rsidRPr="000655B4">
              <w:rPr>
                <w:rStyle w:val="Hyperlink"/>
                <w:noProof/>
              </w:rPr>
              <w:t>Auswahl der Zelllinien und Zellen aus klinischen Resektionspräparaten</w:t>
            </w:r>
            <w:r w:rsidR="002F4DCE">
              <w:rPr>
                <w:noProof/>
                <w:webHidden/>
              </w:rPr>
              <w:tab/>
            </w:r>
            <w:r w:rsidR="002F4DCE">
              <w:rPr>
                <w:noProof/>
                <w:webHidden/>
              </w:rPr>
              <w:fldChar w:fldCharType="begin"/>
            </w:r>
            <w:r w:rsidR="002F4DCE">
              <w:rPr>
                <w:noProof/>
                <w:webHidden/>
              </w:rPr>
              <w:instrText xml:space="preserve"> PAGEREF _Toc121158693 \h </w:instrText>
            </w:r>
            <w:r w:rsidR="002F4DCE">
              <w:rPr>
                <w:noProof/>
                <w:webHidden/>
              </w:rPr>
            </w:r>
            <w:r w:rsidR="002F4DCE">
              <w:rPr>
                <w:noProof/>
                <w:webHidden/>
              </w:rPr>
              <w:fldChar w:fldCharType="separate"/>
            </w:r>
            <w:r w:rsidR="00600BBD">
              <w:rPr>
                <w:noProof/>
                <w:webHidden/>
              </w:rPr>
              <w:t>98</w:t>
            </w:r>
            <w:r w:rsidR="002F4DCE">
              <w:rPr>
                <w:noProof/>
                <w:webHidden/>
              </w:rPr>
              <w:fldChar w:fldCharType="end"/>
            </w:r>
          </w:hyperlink>
        </w:p>
        <w:p w14:paraId="6F363CDF" w14:textId="2BF4ED08" w:rsidR="002F4DCE" w:rsidRDefault="00000000">
          <w:pPr>
            <w:pStyle w:val="Verzeichnis2"/>
            <w:tabs>
              <w:tab w:val="left" w:pos="880"/>
              <w:tab w:val="right" w:leader="underscore" w:pos="8494"/>
            </w:tabs>
            <w:rPr>
              <w:rFonts w:asciiTheme="minorHAnsi" w:hAnsiTheme="minorHAnsi"/>
              <w:noProof/>
              <w:sz w:val="22"/>
            </w:rPr>
          </w:pPr>
          <w:hyperlink w:anchor="_Toc121158694" w:history="1">
            <w:r w:rsidR="002F4DCE" w:rsidRPr="000655B4">
              <w:rPr>
                <w:rStyle w:val="Hyperlink"/>
                <w:noProof/>
              </w:rPr>
              <w:t>4.3</w:t>
            </w:r>
            <w:r w:rsidR="002F4DCE">
              <w:rPr>
                <w:rFonts w:asciiTheme="minorHAnsi" w:hAnsiTheme="minorHAnsi"/>
                <w:noProof/>
                <w:sz w:val="22"/>
              </w:rPr>
              <w:tab/>
            </w:r>
            <w:r w:rsidR="002F4DCE" w:rsidRPr="000655B4">
              <w:rPr>
                <w:rStyle w:val="Hyperlink"/>
                <w:noProof/>
              </w:rPr>
              <w:t>Schlussfolgerung und Ausblick</w:t>
            </w:r>
            <w:r w:rsidR="002F4DCE">
              <w:rPr>
                <w:noProof/>
                <w:webHidden/>
              </w:rPr>
              <w:tab/>
            </w:r>
            <w:r w:rsidR="002F4DCE">
              <w:rPr>
                <w:noProof/>
                <w:webHidden/>
              </w:rPr>
              <w:fldChar w:fldCharType="begin"/>
            </w:r>
            <w:r w:rsidR="002F4DCE">
              <w:rPr>
                <w:noProof/>
                <w:webHidden/>
              </w:rPr>
              <w:instrText xml:space="preserve"> PAGEREF _Toc121158694 \h </w:instrText>
            </w:r>
            <w:r w:rsidR="002F4DCE">
              <w:rPr>
                <w:noProof/>
                <w:webHidden/>
              </w:rPr>
            </w:r>
            <w:r w:rsidR="002F4DCE">
              <w:rPr>
                <w:noProof/>
                <w:webHidden/>
              </w:rPr>
              <w:fldChar w:fldCharType="separate"/>
            </w:r>
            <w:r w:rsidR="00600BBD">
              <w:rPr>
                <w:noProof/>
                <w:webHidden/>
              </w:rPr>
              <w:t>99</w:t>
            </w:r>
            <w:r w:rsidR="002F4DCE">
              <w:rPr>
                <w:noProof/>
                <w:webHidden/>
              </w:rPr>
              <w:fldChar w:fldCharType="end"/>
            </w:r>
          </w:hyperlink>
        </w:p>
        <w:p w14:paraId="0ECA3784" w14:textId="2CD1B364" w:rsidR="002F4DCE" w:rsidRDefault="00000000">
          <w:pPr>
            <w:pStyle w:val="Verzeichnis1"/>
            <w:tabs>
              <w:tab w:val="left" w:pos="440"/>
              <w:tab w:val="right" w:leader="underscore" w:pos="8494"/>
            </w:tabs>
            <w:rPr>
              <w:rFonts w:asciiTheme="minorHAnsi" w:hAnsiTheme="minorHAnsi"/>
              <w:noProof/>
              <w:sz w:val="22"/>
            </w:rPr>
          </w:pPr>
          <w:hyperlink w:anchor="_Toc121158695" w:history="1">
            <w:r w:rsidR="002F4DCE" w:rsidRPr="000655B4">
              <w:rPr>
                <w:rStyle w:val="Hyperlink"/>
                <w:noProof/>
              </w:rPr>
              <w:t>5</w:t>
            </w:r>
            <w:r w:rsidR="002F4DCE">
              <w:rPr>
                <w:rFonts w:asciiTheme="minorHAnsi" w:hAnsiTheme="minorHAnsi"/>
                <w:noProof/>
                <w:sz w:val="22"/>
              </w:rPr>
              <w:tab/>
            </w:r>
            <w:r w:rsidR="002F4DCE" w:rsidRPr="000655B4">
              <w:rPr>
                <w:rStyle w:val="Hyperlink"/>
                <w:noProof/>
              </w:rPr>
              <w:t>Zusammenfassung</w:t>
            </w:r>
            <w:r w:rsidR="002F4DCE">
              <w:rPr>
                <w:noProof/>
                <w:webHidden/>
              </w:rPr>
              <w:tab/>
            </w:r>
            <w:r w:rsidR="002F4DCE">
              <w:rPr>
                <w:noProof/>
                <w:webHidden/>
              </w:rPr>
              <w:fldChar w:fldCharType="begin"/>
            </w:r>
            <w:r w:rsidR="002F4DCE">
              <w:rPr>
                <w:noProof/>
                <w:webHidden/>
              </w:rPr>
              <w:instrText xml:space="preserve"> PAGEREF _Toc121158695 \h </w:instrText>
            </w:r>
            <w:r w:rsidR="002F4DCE">
              <w:rPr>
                <w:noProof/>
                <w:webHidden/>
              </w:rPr>
            </w:r>
            <w:r w:rsidR="002F4DCE">
              <w:rPr>
                <w:noProof/>
                <w:webHidden/>
              </w:rPr>
              <w:fldChar w:fldCharType="separate"/>
            </w:r>
            <w:r w:rsidR="00600BBD">
              <w:rPr>
                <w:noProof/>
                <w:webHidden/>
              </w:rPr>
              <w:t>101</w:t>
            </w:r>
            <w:r w:rsidR="002F4DCE">
              <w:rPr>
                <w:noProof/>
                <w:webHidden/>
              </w:rPr>
              <w:fldChar w:fldCharType="end"/>
            </w:r>
          </w:hyperlink>
        </w:p>
        <w:p w14:paraId="7EC08A35" w14:textId="2134352A" w:rsidR="002F4DCE" w:rsidRDefault="00000000">
          <w:pPr>
            <w:pStyle w:val="Verzeichnis1"/>
            <w:tabs>
              <w:tab w:val="left" w:pos="440"/>
              <w:tab w:val="right" w:leader="underscore" w:pos="8494"/>
            </w:tabs>
            <w:rPr>
              <w:rFonts w:asciiTheme="minorHAnsi" w:hAnsiTheme="minorHAnsi"/>
              <w:noProof/>
              <w:sz w:val="22"/>
            </w:rPr>
          </w:pPr>
          <w:hyperlink w:anchor="_Toc121158696" w:history="1">
            <w:r w:rsidR="002F4DCE" w:rsidRPr="000655B4">
              <w:rPr>
                <w:rStyle w:val="Hyperlink"/>
                <w:noProof/>
              </w:rPr>
              <w:t>6</w:t>
            </w:r>
            <w:r w:rsidR="002F4DCE">
              <w:rPr>
                <w:rFonts w:asciiTheme="minorHAnsi" w:hAnsiTheme="minorHAnsi"/>
                <w:noProof/>
                <w:sz w:val="22"/>
              </w:rPr>
              <w:tab/>
            </w:r>
            <w:r w:rsidR="002F4DCE" w:rsidRPr="000655B4">
              <w:rPr>
                <w:rStyle w:val="Hyperlink"/>
                <w:noProof/>
              </w:rPr>
              <w:t>Literaturverzeichnis:</w:t>
            </w:r>
            <w:r w:rsidR="002F4DCE">
              <w:rPr>
                <w:noProof/>
                <w:webHidden/>
              </w:rPr>
              <w:tab/>
            </w:r>
            <w:r w:rsidR="002F4DCE">
              <w:rPr>
                <w:noProof/>
                <w:webHidden/>
              </w:rPr>
              <w:fldChar w:fldCharType="begin"/>
            </w:r>
            <w:r w:rsidR="002F4DCE">
              <w:rPr>
                <w:noProof/>
                <w:webHidden/>
              </w:rPr>
              <w:instrText xml:space="preserve"> PAGEREF _Toc121158696 \h </w:instrText>
            </w:r>
            <w:r w:rsidR="002F4DCE">
              <w:rPr>
                <w:noProof/>
                <w:webHidden/>
              </w:rPr>
            </w:r>
            <w:r w:rsidR="002F4DCE">
              <w:rPr>
                <w:noProof/>
                <w:webHidden/>
              </w:rPr>
              <w:fldChar w:fldCharType="separate"/>
            </w:r>
            <w:r w:rsidR="00600BBD">
              <w:rPr>
                <w:noProof/>
                <w:webHidden/>
              </w:rPr>
              <w:t>103</w:t>
            </w:r>
            <w:r w:rsidR="002F4DCE">
              <w:rPr>
                <w:noProof/>
                <w:webHidden/>
              </w:rPr>
              <w:fldChar w:fldCharType="end"/>
            </w:r>
          </w:hyperlink>
        </w:p>
        <w:p w14:paraId="3B83097E" w14:textId="6A80255D" w:rsidR="002F4DCE" w:rsidRDefault="00000000">
          <w:pPr>
            <w:pStyle w:val="Verzeichnis1"/>
            <w:tabs>
              <w:tab w:val="left" w:pos="440"/>
              <w:tab w:val="right" w:leader="underscore" w:pos="8494"/>
            </w:tabs>
            <w:rPr>
              <w:rFonts w:asciiTheme="minorHAnsi" w:hAnsiTheme="minorHAnsi"/>
              <w:noProof/>
              <w:sz w:val="22"/>
            </w:rPr>
          </w:pPr>
          <w:hyperlink w:anchor="_Toc121158697" w:history="1">
            <w:r w:rsidR="002F4DCE" w:rsidRPr="000655B4">
              <w:rPr>
                <w:rStyle w:val="Hyperlink"/>
                <w:noProof/>
              </w:rPr>
              <w:t>7</w:t>
            </w:r>
            <w:r w:rsidR="002F4DCE">
              <w:rPr>
                <w:rFonts w:asciiTheme="minorHAnsi" w:hAnsiTheme="minorHAnsi"/>
                <w:noProof/>
                <w:sz w:val="22"/>
              </w:rPr>
              <w:tab/>
            </w:r>
            <w:r w:rsidR="002F4DCE" w:rsidRPr="000655B4">
              <w:rPr>
                <w:rStyle w:val="Hyperlink"/>
                <w:noProof/>
              </w:rPr>
              <w:t>Erklärung zum Eigenanteil</w:t>
            </w:r>
            <w:r w:rsidR="002F4DCE">
              <w:rPr>
                <w:noProof/>
                <w:webHidden/>
              </w:rPr>
              <w:tab/>
            </w:r>
            <w:r w:rsidR="002F4DCE">
              <w:rPr>
                <w:noProof/>
                <w:webHidden/>
              </w:rPr>
              <w:fldChar w:fldCharType="begin"/>
            </w:r>
            <w:r w:rsidR="002F4DCE">
              <w:rPr>
                <w:noProof/>
                <w:webHidden/>
              </w:rPr>
              <w:instrText xml:space="preserve"> PAGEREF _Toc121158697 \h </w:instrText>
            </w:r>
            <w:r w:rsidR="002F4DCE">
              <w:rPr>
                <w:noProof/>
                <w:webHidden/>
              </w:rPr>
            </w:r>
            <w:r w:rsidR="002F4DCE">
              <w:rPr>
                <w:noProof/>
                <w:webHidden/>
              </w:rPr>
              <w:fldChar w:fldCharType="separate"/>
            </w:r>
            <w:r w:rsidR="00600BBD">
              <w:rPr>
                <w:noProof/>
                <w:webHidden/>
              </w:rPr>
              <w:t>119</w:t>
            </w:r>
            <w:r w:rsidR="002F4DCE">
              <w:rPr>
                <w:noProof/>
                <w:webHidden/>
              </w:rPr>
              <w:fldChar w:fldCharType="end"/>
            </w:r>
          </w:hyperlink>
        </w:p>
        <w:p w14:paraId="2D0FF287" w14:textId="4652B361" w:rsidR="002F4DCE" w:rsidRDefault="00000000">
          <w:pPr>
            <w:pStyle w:val="Verzeichnis1"/>
            <w:tabs>
              <w:tab w:val="left" w:pos="440"/>
              <w:tab w:val="right" w:leader="underscore" w:pos="8494"/>
            </w:tabs>
            <w:rPr>
              <w:rFonts w:asciiTheme="minorHAnsi" w:hAnsiTheme="minorHAnsi"/>
              <w:noProof/>
              <w:sz w:val="22"/>
            </w:rPr>
          </w:pPr>
          <w:hyperlink w:anchor="_Toc121158698" w:history="1">
            <w:r w:rsidR="002F4DCE" w:rsidRPr="000655B4">
              <w:rPr>
                <w:rStyle w:val="Hyperlink"/>
                <w:noProof/>
              </w:rPr>
              <w:t>8</w:t>
            </w:r>
            <w:r w:rsidR="002F4DCE">
              <w:rPr>
                <w:rFonts w:asciiTheme="minorHAnsi" w:hAnsiTheme="minorHAnsi"/>
                <w:noProof/>
                <w:sz w:val="22"/>
              </w:rPr>
              <w:tab/>
            </w:r>
            <w:r w:rsidR="002F4DCE" w:rsidRPr="000655B4">
              <w:rPr>
                <w:rStyle w:val="Hyperlink"/>
                <w:noProof/>
              </w:rPr>
              <w:t>Danksagung</w:t>
            </w:r>
            <w:r w:rsidR="002F4DCE">
              <w:rPr>
                <w:noProof/>
                <w:webHidden/>
              </w:rPr>
              <w:tab/>
            </w:r>
            <w:r w:rsidR="002F4DCE">
              <w:rPr>
                <w:noProof/>
                <w:webHidden/>
              </w:rPr>
              <w:fldChar w:fldCharType="begin"/>
            </w:r>
            <w:r w:rsidR="002F4DCE">
              <w:rPr>
                <w:noProof/>
                <w:webHidden/>
              </w:rPr>
              <w:instrText xml:space="preserve"> PAGEREF _Toc121158698 \h </w:instrText>
            </w:r>
            <w:r w:rsidR="002F4DCE">
              <w:rPr>
                <w:noProof/>
                <w:webHidden/>
              </w:rPr>
            </w:r>
            <w:r w:rsidR="002F4DCE">
              <w:rPr>
                <w:noProof/>
                <w:webHidden/>
              </w:rPr>
              <w:fldChar w:fldCharType="separate"/>
            </w:r>
            <w:r w:rsidR="00600BBD">
              <w:rPr>
                <w:noProof/>
                <w:webHidden/>
              </w:rPr>
              <w:t>120</w:t>
            </w:r>
            <w:r w:rsidR="002F4DCE">
              <w:rPr>
                <w:noProof/>
                <w:webHidden/>
              </w:rPr>
              <w:fldChar w:fldCharType="end"/>
            </w:r>
          </w:hyperlink>
        </w:p>
        <w:p w14:paraId="65ECA362" w14:textId="57D7F105" w:rsidR="00C85902" w:rsidRDefault="00C85902">
          <w:r>
            <w:rPr>
              <w:rFonts w:eastAsiaTheme="minorEastAsia"/>
              <w:lang w:eastAsia="de-DE"/>
            </w:rPr>
            <w:fldChar w:fldCharType="end"/>
          </w:r>
        </w:p>
      </w:sdtContent>
    </w:sdt>
    <w:p w14:paraId="4244E1DC" w14:textId="77777777" w:rsidR="00C85902" w:rsidRPr="00F720CB" w:rsidRDefault="00C85902" w:rsidP="00192283"/>
    <w:p w14:paraId="6799870B" w14:textId="77777777" w:rsidR="00C85902" w:rsidRPr="00F720CB" w:rsidRDefault="00C85902" w:rsidP="00192283"/>
    <w:p w14:paraId="07DE8DD6" w14:textId="77777777" w:rsidR="00C85902" w:rsidRPr="00F720CB" w:rsidRDefault="00C85902" w:rsidP="00192283"/>
    <w:p w14:paraId="7FF4003D" w14:textId="77777777" w:rsidR="00C85902" w:rsidRPr="00F720CB" w:rsidRDefault="00C85902" w:rsidP="002F6D8E">
      <w:pPr>
        <w:spacing w:line="259" w:lineRule="auto"/>
      </w:pPr>
      <w:r>
        <w:br w:type="page"/>
      </w:r>
    </w:p>
    <w:p w14:paraId="4EBA1886" w14:textId="77777777" w:rsidR="00C85902" w:rsidRDefault="00C85902" w:rsidP="00383E33">
      <w:pPr>
        <w:pStyle w:val="berschrift1"/>
        <w:numPr>
          <w:ilvl w:val="0"/>
          <w:numId w:val="0"/>
        </w:numPr>
      </w:pPr>
      <w:bookmarkStart w:id="0" w:name="_Toc121158633"/>
      <w:r>
        <w:t xml:space="preserve">Tabellen- und </w:t>
      </w:r>
      <w:r w:rsidRPr="00383E33">
        <w:t>Abbildungsverzeichnis</w:t>
      </w:r>
      <w:bookmarkEnd w:id="0"/>
    </w:p>
    <w:p w14:paraId="544BA9F7" w14:textId="77777777" w:rsidR="00C85902" w:rsidRPr="00202A79" w:rsidRDefault="00C85902">
      <w:pPr>
        <w:pStyle w:val="Abbildungsverzeichnis"/>
        <w:tabs>
          <w:tab w:val="right" w:leader="dot" w:pos="8494"/>
        </w:tabs>
        <w:rPr>
          <w:b/>
          <w:bCs/>
          <w:u w:val="single"/>
        </w:rPr>
      </w:pPr>
      <w:r w:rsidRPr="00202A79">
        <w:rPr>
          <w:b/>
          <w:bCs/>
          <w:u w:val="single"/>
        </w:rPr>
        <w:t>Tabellenverzeichnis</w:t>
      </w:r>
    </w:p>
    <w:p w14:paraId="75C44809" w14:textId="44D5611C" w:rsidR="00C85902" w:rsidRDefault="00C85902">
      <w:pPr>
        <w:pStyle w:val="Abbildungsverzeichnis"/>
        <w:tabs>
          <w:tab w:val="right" w:leader="dot" w:pos="8494"/>
        </w:tabs>
        <w:rPr>
          <w:rFonts w:asciiTheme="minorHAnsi" w:eastAsiaTheme="minorEastAsia" w:hAnsiTheme="minorHAnsi"/>
          <w:noProof/>
          <w:sz w:val="22"/>
          <w:lang w:eastAsia="de-DE"/>
        </w:rPr>
      </w:pPr>
      <w:r>
        <w:fldChar w:fldCharType="begin"/>
      </w:r>
      <w:r>
        <w:instrText xml:space="preserve"> TOC \h \z \c "Tabelle" </w:instrText>
      </w:r>
      <w:r>
        <w:fldChar w:fldCharType="separate"/>
      </w:r>
      <w:hyperlink w:anchor="_Toc120649843" w:history="1">
        <w:r w:rsidRPr="009E0C28">
          <w:rPr>
            <w:rStyle w:val="Hyperlink"/>
            <w:noProof/>
          </w:rPr>
          <w:t>Tabelle 1 Vergleich der Inzidenz, Mortalität und Prävalenz des Blasenkarzinoms 2013 und 2018</w:t>
        </w:r>
        <w:r>
          <w:rPr>
            <w:noProof/>
            <w:webHidden/>
          </w:rPr>
          <w:tab/>
        </w:r>
        <w:r>
          <w:rPr>
            <w:noProof/>
            <w:webHidden/>
          </w:rPr>
          <w:fldChar w:fldCharType="begin"/>
        </w:r>
        <w:r>
          <w:rPr>
            <w:noProof/>
            <w:webHidden/>
          </w:rPr>
          <w:instrText xml:space="preserve"> PAGEREF _Toc120649843 \h </w:instrText>
        </w:r>
        <w:r>
          <w:rPr>
            <w:noProof/>
            <w:webHidden/>
          </w:rPr>
        </w:r>
        <w:r>
          <w:rPr>
            <w:noProof/>
            <w:webHidden/>
          </w:rPr>
          <w:fldChar w:fldCharType="separate"/>
        </w:r>
        <w:r w:rsidR="00791554">
          <w:rPr>
            <w:noProof/>
            <w:webHidden/>
          </w:rPr>
          <w:t>11</w:t>
        </w:r>
        <w:r>
          <w:rPr>
            <w:noProof/>
            <w:webHidden/>
          </w:rPr>
          <w:fldChar w:fldCharType="end"/>
        </w:r>
      </w:hyperlink>
    </w:p>
    <w:p w14:paraId="060C8346" w14:textId="6BC802C7"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44" w:history="1">
        <w:r w:rsidR="00C85902" w:rsidRPr="009E0C28">
          <w:rPr>
            <w:rStyle w:val="Hyperlink"/>
            <w:noProof/>
          </w:rPr>
          <w:t>Tabelle 2 UICC Stadieneinteilung der Harnblasenkarzinome</w:t>
        </w:r>
        <w:r w:rsidR="00C85902">
          <w:rPr>
            <w:noProof/>
            <w:webHidden/>
          </w:rPr>
          <w:tab/>
        </w:r>
        <w:r w:rsidR="00C85902">
          <w:rPr>
            <w:noProof/>
            <w:webHidden/>
          </w:rPr>
          <w:fldChar w:fldCharType="begin"/>
        </w:r>
        <w:r w:rsidR="00C85902">
          <w:rPr>
            <w:noProof/>
            <w:webHidden/>
          </w:rPr>
          <w:instrText xml:space="preserve"> PAGEREF _Toc120649844 \h </w:instrText>
        </w:r>
        <w:r w:rsidR="00C85902">
          <w:rPr>
            <w:noProof/>
            <w:webHidden/>
          </w:rPr>
        </w:r>
        <w:r w:rsidR="00C85902">
          <w:rPr>
            <w:noProof/>
            <w:webHidden/>
          </w:rPr>
          <w:fldChar w:fldCharType="separate"/>
        </w:r>
        <w:r w:rsidR="00791554">
          <w:rPr>
            <w:noProof/>
            <w:webHidden/>
          </w:rPr>
          <w:t>13</w:t>
        </w:r>
        <w:r w:rsidR="00C85902">
          <w:rPr>
            <w:noProof/>
            <w:webHidden/>
          </w:rPr>
          <w:fldChar w:fldCharType="end"/>
        </w:r>
      </w:hyperlink>
    </w:p>
    <w:p w14:paraId="2914CD9A" w14:textId="17B1EBB0"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45" w:history="1">
        <w:r w:rsidR="00C85902" w:rsidRPr="009E0C28">
          <w:rPr>
            <w:rStyle w:val="Hyperlink"/>
            <w:noProof/>
          </w:rPr>
          <w:t>Tabelle 3 Allgemeine Geräte und Materialien</w:t>
        </w:r>
        <w:r w:rsidR="00C85902">
          <w:rPr>
            <w:noProof/>
            <w:webHidden/>
          </w:rPr>
          <w:tab/>
        </w:r>
        <w:r w:rsidR="00C85902">
          <w:rPr>
            <w:noProof/>
            <w:webHidden/>
          </w:rPr>
          <w:fldChar w:fldCharType="begin"/>
        </w:r>
        <w:r w:rsidR="00C85902">
          <w:rPr>
            <w:noProof/>
            <w:webHidden/>
          </w:rPr>
          <w:instrText xml:space="preserve"> PAGEREF _Toc120649845 \h </w:instrText>
        </w:r>
        <w:r w:rsidR="00C85902">
          <w:rPr>
            <w:noProof/>
            <w:webHidden/>
          </w:rPr>
        </w:r>
        <w:r w:rsidR="00C85902">
          <w:rPr>
            <w:noProof/>
            <w:webHidden/>
          </w:rPr>
          <w:fldChar w:fldCharType="separate"/>
        </w:r>
        <w:r w:rsidR="00791554">
          <w:rPr>
            <w:noProof/>
            <w:webHidden/>
          </w:rPr>
          <w:t>31</w:t>
        </w:r>
        <w:r w:rsidR="00C85902">
          <w:rPr>
            <w:noProof/>
            <w:webHidden/>
          </w:rPr>
          <w:fldChar w:fldCharType="end"/>
        </w:r>
      </w:hyperlink>
    </w:p>
    <w:p w14:paraId="1E205720" w14:textId="0E82277F"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46" w:history="1">
        <w:r w:rsidR="00C85902" w:rsidRPr="009E0C28">
          <w:rPr>
            <w:rStyle w:val="Hyperlink"/>
            <w:noProof/>
          </w:rPr>
          <w:t>Tabelle 4 Übersicht der Zelllinien</w:t>
        </w:r>
        <w:r w:rsidR="00C85902">
          <w:rPr>
            <w:noProof/>
            <w:webHidden/>
          </w:rPr>
          <w:tab/>
        </w:r>
        <w:r w:rsidR="00C85902">
          <w:rPr>
            <w:noProof/>
            <w:webHidden/>
          </w:rPr>
          <w:fldChar w:fldCharType="begin"/>
        </w:r>
        <w:r w:rsidR="00C85902">
          <w:rPr>
            <w:noProof/>
            <w:webHidden/>
          </w:rPr>
          <w:instrText xml:space="preserve"> PAGEREF _Toc120649846 \h </w:instrText>
        </w:r>
        <w:r w:rsidR="00C85902">
          <w:rPr>
            <w:noProof/>
            <w:webHidden/>
          </w:rPr>
        </w:r>
        <w:r w:rsidR="00C85902">
          <w:rPr>
            <w:noProof/>
            <w:webHidden/>
          </w:rPr>
          <w:fldChar w:fldCharType="separate"/>
        </w:r>
        <w:r w:rsidR="00791554">
          <w:rPr>
            <w:noProof/>
            <w:webHidden/>
          </w:rPr>
          <w:t>32</w:t>
        </w:r>
        <w:r w:rsidR="00C85902">
          <w:rPr>
            <w:noProof/>
            <w:webHidden/>
          </w:rPr>
          <w:fldChar w:fldCharType="end"/>
        </w:r>
      </w:hyperlink>
    </w:p>
    <w:p w14:paraId="59BB39B8" w14:textId="3DD0B912"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47" w:history="1">
        <w:r w:rsidR="00C85902" w:rsidRPr="009E0C28">
          <w:rPr>
            <w:rStyle w:val="Hyperlink"/>
            <w:noProof/>
          </w:rPr>
          <w:t>Tabelle 5 Übersicht der Harnleiterzellen</w:t>
        </w:r>
        <w:r w:rsidR="00C85902">
          <w:rPr>
            <w:noProof/>
            <w:webHidden/>
          </w:rPr>
          <w:tab/>
        </w:r>
        <w:r w:rsidR="00C85902">
          <w:rPr>
            <w:noProof/>
            <w:webHidden/>
          </w:rPr>
          <w:fldChar w:fldCharType="begin"/>
        </w:r>
        <w:r w:rsidR="00C85902">
          <w:rPr>
            <w:noProof/>
            <w:webHidden/>
          </w:rPr>
          <w:instrText xml:space="preserve"> PAGEREF _Toc120649847 \h </w:instrText>
        </w:r>
        <w:r w:rsidR="00C85902">
          <w:rPr>
            <w:noProof/>
            <w:webHidden/>
          </w:rPr>
        </w:r>
        <w:r w:rsidR="00C85902">
          <w:rPr>
            <w:noProof/>
            <w:webHidden/>
          </w:rPr>
          <w:fldChar w:fldCharType="separate"/>
        </w:r>
        <w:r w:rsidR="00791554">
          <w:rPr>
            <w:noProof/>
            <w:webHidden/>
          </w:rPr>
          <w:t>33</w:t>
        </w:r>
        <w:r w:rsidR="00C85902">
          <w:rPr>
            <w:noProof/>
            <w:webHidden/>
          </w:rPr>
          <w:fldChar w:fldCharType="end"/>
        </w:r>
      </w:hyperlink>
    </w:p>
    <w:p w14:paraId="7EA2328A" w14:textId="6863E7DF"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48" w:history="1">
        <w:r w:rsidR="00C85902" w:rsidRPr="009E0C28">
          <w:rPr>
            <w:rStyle w:val="Hyperlink"/>
            <w:noProof/>
          </w:rPr>
          <w:t>Tabelle 6 Bestandteile Zelllinienmedium</w:t>
        </w:r>
        <w:r w:rsidR="00C85902">
          <w:rPr>
            <w:noProof/>
            <w:webHidden/>
          </w:rPr>
          <w:tab/>
        </w:r>
        <w:r w:rsidR="00C85902">
          <w:rPr>
            <w:noProof/>
            <w:webHidden/>
          </w:rPr>
          <w:fldChar w:fldCharType="begin"/>
        </w:r>
        <w:r w:rsidR="00C85902">
          <w:rPr>
            <w:noProof/>
            <w:webHidden/>
          </w:rPr>
          <w:instrText xml:space="preserve"> PAGEREF _Toc120649848 \h </w:instrText>
        </w:r>
        <w:r w:rsidR="00C85902">
          <w:rPr>
            <w:noProof/>
            <w:webHidden/>
          </w:rPr>
        </w:r>
        <w:r w:rsidR="00C85902">
          <w:rPr>
            <w:noProof/>
            <w:webHidden/>
          </w:rPr>
          <w:fldChar w:fldCharType="separate"/>
        </w:r>
        <w:r w:rsidR="00791554">
          <w:rPr>
            <w:noProof/>
            <w:webHidden/>
          </w:rPr>
          <w:t>35</w:t>
        </w:r>
        <w:r w:rsidR="00C85902">
          <w:rPr>
            <w:noProof/>
            <w:webHidden/>
          </w:rPr>
          <w:fldChar w:fldCharType="end"/>
        </w:r>
      </w:hyperlink>
    </w:p>
    <w:p w14:paraId="2F79CB26" w14:textId="6DE6A3A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49" w:history="1">
        <w:r w:rsidR="00C85902" w:rsidRPr="009E0C28">
          <w:rPr>
            <w:rStyle w:val="Hyperlink"/>
            <w:noProof/>
          </w:rPr>
          <w:t>Tabelle 7 Material für die Zellpassage</w:t>
        </w:r>
        <w:r w:rsidR="00C85902">
          <w:rPr>
            <w:noProof/>
            <w:webHidden/>
          </w:rPr>
          <w:tab/>
        </w:r>
        <w:r w:rsidR="00C85902">
          <w:rPr>
            <w:noProof/>
            <w:webHidden/>
          </w:rPr>
          <w:fldChar w:fldCharType="begin"/>
        </w:r>
        <w:r w:rsidR="00C85902">
          <w:rPr>
            <w:noProof/>
            <w:webHidden/>
          </w:rPr>
          <w:instrText xml:space="preserve"> PAGEREF _Toc120649849 \h </w:instrText>
        </w:r>
        <w:r w:rsidR="00C85902">
          <w:rPr>
            <w:noProof/>
            <w:webHidden/>
          </w:rPr>
        </w:r>
        <w:r w:rsidR="00C85902">
          <w:rPr>
            <w:noProof/>
            <w:webHidden/>
          </w:rPr>
          <w:fldChar w:fldCharType="separate"/>
        </w:r>
        <w:r w:rsidR="00791554">
          <w:rPr>
            <w:noProof/>
            <w:webHidden/>
          </w:rPr>
          <w:t>36</w:t>
        </w:r>
        <w:r w:rsidR="00C85902">
          <w:rPr>
            <w:noProof/>
            <w:webHidden/>
          </w:rPr>
          <w:fldChar w:fldCharType="end"/>
        </w:r>
      </w:hyperlink>
    </w:p>
    <w:p w14:paraId="6E7343BF" w14:textId="2F00A04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0" w:history="1">
        <w:r w:rsidR="00C85902" w:rsidRPr="009E0C28">
          <w:rPr>
            <w:rStyle w:val="Hyperlink"/>
            <w:noProof/>
          </w:rPr>
          <w:t>Tabelle 8 KSFM-Zellmedium der präparierten Tumorzellen</w:t>
        </w:r>
        <w:r w:rsidR="00C85902">
          <w:rPr>
            <w:noProof/>
            <w:webHidden/>
          </w:rPr>
          <w:tab/>
        </w:r>
        <w:r w:rsidR="00C85902">
          <w:rPr>
            <w:noProof/>
            <w:webHidden/>
          </w:rPr>
          <w:fldChar w:fldCharType="begin"/>
        </w:r>
        <w:r w:rsidR="00C85902">
          <w:rPr>
            <w:noProof/>
            <w:webHidden/>
          </w:rPr>
          <w:instrText xml:space="preserve"> PAGEREF _Toc120649850 \h </w:instrText>
        </w:r>
        <w:r w:rsidR="00C85902">
          <w:rPr>
            <w:noProof/>
            <w:webHidden/>
          </w:rPr>
        </w:r>
        <w:r w:rsidR="00C85902">
          <w:rPr>
            <w:noProof/>
            <w:webHidden/>
          </w:rPr>
          <w:fldChar w:fldCharType="separate"/>
        </w:r>
        <w:r w:rsidR="00791554">
          <w:rPr>
            <w:noProof/>
            <w:webHidden/>
          </w:rPr>
          <w:t>36</w:t>
        </w:r>
        <w:r w:rsidR="00C85902">
          <w:rPr>
            <w:noProof/>
            <w:webHidden/>
          </w:rPr>
          <w:fldChar w:fldCharType="end"/>
        </w:r>
      </w:hyperlink>
    </w:p>
    <w:p w14:paraId="56FAF983" w14:textId="2F4325B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1" w:history="1">
        <w:r w:rsidR="00C85902" w:rsidRPr="009E0C28">
          <w:rPr>
            <w:rStyle w:val="Hyperlink"/>
            <w:noProof/>
          </w:rPr>
          <w:t>Tabelle 9 Substanzen für die Passage der aus Harnleitern isolierten Zellen</w:t>
        </w:r>
        <w:r w:rsidR="00C85902">
          <w:rPr>
            <w:noProof/>
            <w:webHidden/>
          </w:rPr>
          <w:tab/>
        </w:r>
        <w:r w:rsidR="00C85902">
          <w:rPr>
            <w:noProof/>
            <w:webHidden/>
          </w:rPr>
          <w:fldChar w:fldCharType="begin"/>
        </w:r>
        <w:r w:rsidR="00C85902">
          <w:rPr>
            <w:noProof/>
            <w:webHidden/>
          </w:rPr>
          <w:instrText xml:space="preserve"> PAGEREF _Toc120649851 \h </w:instrText>
        </w:r>
        <w:r w:rsidR="00C85902">
          <w:rPr>
            <w:noProof/>
            <w:webHidden/>
          </w:rPr>
        </w:r>
        <w:r w:rsidR="00C85902">
          <w:rPr>
            <w:noProof/>
            <w:webHidden/>
          </w:rPr>
          <w:fldChar w:fldCharType="separate"/>
        </w:r>
        <w:r w:rsidR="00791554">
          <w:rPr>
            <w:noProof/>
            <w:webHidden/>
          </w:rPr>
          <w:t>37</w:t>
        </w:r>
        <w:r w:rsidR="00C85902">
          <w:rPr>
            <w:noProof/>
            <w:webHidden/>
          </w:rPr>
          <w:fldChar w:fldCharType="end"/>
        </w:r>
      </w:hyperlink>
    </w:p>
    <w:p w14:paraId="7542EBA1" w14:textId="41493B5C"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2" w:history="1">
        <w:r w:rsidR="00C85902" w:rsidRPr="009E0C28">
          <w:rPr>
            <w:rStyle w:val="Hyperlink"/>
            <w:noProof/>
          </w:rPr>
          <w:t>Tabelle 10 Reagenzien und Material für die RNA-Extraktion</w:t>
        </w:r>
        <w:r w:rsidR="00C85902">
          <w:rPr>
            <w:noProof/>
            <w:webHidden/>
          </w:rPr>
          <w:tab/>
        </w:r>
        <w:r w:rsidR="00C85902">
          <w:rPr>
            <w:noProof/>
            <w:webHidden/>
          </w:rPr>
          <w:fldChar w:fldCharType="begin"/>
        </w:r>
        <w:r w:rsidR="00C85902">
          <w:rPr>
            <w:noProof/>
            <w:webHidden/>
          </w:rPr>
          <w:instrText xml:space="preserve"> PAGEREF _Toc120649852 \h </w:instrText>
        </w:r>
        <w:r w:rsidR="00C85902">
          <w:rPr>
            <w:noProof/>
            <w:webHidden/>
          </w:rPr>
        </w:r>
        <w:r w:rsidR="00C85902">
          <w:rPr>
            <w:noProof/>
            <w:webHidden/>
          </w:rPr>
          <w:fldChar w:fldCharType="separate"/>
        </w:r>
        <w:r w:rsidR="00791554">
          <w:rPr>
            <w:noProof/>
            <w:webHidden/>
          </w:rPr>
          <w:t>41</w:t>
        </w:r>
        <w:r w:rsidR="00C85902">
          <w:rPr>
            <w:noProof/>
            <w:webHidden/>
          </w:rPr>
          <w:fldChar w:fldCharType="end"/>
        </w:r>
      </w:hyperlink>
    </w:p>
    <w:p w14:paraId="235685E9" w14:textId="3F6C0CDE"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3" w:history="1">
        <w:r w:rsidR="00C85902" w:rsidRPr="009E0C28">
          <w:rPr>
            <w:rStyle w:val="Hyperlink"/>
            <w:noProof/>
          </w:rPr>
          <w:t>Tabelle 11 Reagenzien für Reverse Transkription</w:t>
        </w:r>
        <w:r w:rsidR="00C85902">
          <w:rPr>
            <w:noProof/>
            <w:webHidden/>
          </w:rPr>
          <w:tab/>
        </w:r>
        <w:r w:rsidR="00C85902">
          <w:rPr>
            <w:noProof/>
            <w:webHidden/>
          </w:rPr>
          <w:fldChar w:fldCharType="begin"/>
        </w:r>
        <w:r w:rsidR="00C85902">
          <w:rPr>
            <w:noProof/>
            <w:webHidden/>
          </w:rPr>
          <w:instrText xml:space="preserve"> PAGEREF _Toc120649853 \h </w:instrText>
        </w:r>
        <w:r w:rsidR="00C85902">
          <w:rPr>
            <w:noProof/>
            <w:webHidden/>
          </w:rPr>
        </w:r>
        <w:r w:rsidR="00C85902">
          <w:rPr>
            <w:noProof/>
            <w:webHidden/>
          </w:rPr>
          <w:fldChar w:fldCharType="separate"/>
        </w:r>
        <w:r w:rsidR="00791554">
          <w:rPr>
            <w:noProof/>
            <w:webHidden/>
          </w:rPr>
          <w:t>41</w:t>
        </w:r>
        <w:r w:rsidR="00C85902">
          <w:rPr>
            <w:noProof/>
            <w:webHidden/>
          </w:rPr>
          <w:fldChar w:fldCharType="end"/>
        </w:r>
      </w:hyperlink>
    </w:p>
    <w:p w14:paraId="495C1063" w14:textId="56315429"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4" w:history="1">
        <w:r w:rsidR="00C85902" w:rsidRPr="009E0C28">
          <w:rPr>
            <w:rStyle w:val="Hyperlink"/>
            <w:noProof/>
          </w:rPr>
          <w:t>Tabelle 12 Reagenzien für Mastermixe der PCR</w:t>
        </w:r>
        <w:r w:rsidR="00C85902">
          <w:rPr>
            <w:noProof/>
            <w:webHidden/>
          </w:rPr>
          <w:tab/>
        </w:r>
        <w:r w:rsidR="00C85902">
          <w:rPr>
            <w:noProof/>
            <w:webHidden/>
          </w:rPr>
          <w:fldChar w:fldCharType="begin"/>
        </w:r>
        <w:r w:rsidR="00C85902">
          <w:rPr>
            <w:noProof/>
            <w:webHidden/>
          </w:rPr>
          <w:instrText xml:space="preserve"> PAGEREF _Toc120649854 \h </w:instrText>
        </w:r>
        <w:r w:rsidR="00C85902">
          <w:rPr>
            <w:noProof/>
            <w:webHidden/>
          </w:rPr>
        </w:r>
        <w:r w:rsidR="00C85902">
          <w:rPr>
            <w:noProof/>
            <w:webHidden/>
          </w:rPr>
          <w:fldChar w:fldCharType="separate"/>
        </w:r>
        <w:r w:rsidR="00791554">
          <w:rPr>
            <w:noProof/>
            <w:webHidden/>
          </w:rPr>
          <w:t>43</w:t>
        </w:r>
        <w:r w:rsidR="00C85902">
          <w:rPr>
            <w:noProof/>
            <w:webHidden/>
          </w:rPr>
          <w:fldChar w:fldCharType="end"/>
        </w:r>
      </w:hyperlink>
    </w:p>
    <w:p w14:paraId="6BED9083" w14:textId="095F36FF"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5" w:history="1">
        <w:r w:rsidR="00C85902" w:rsidRPr="009E0C28">
          <w:rPr>
            <w:rStyle w:val="Hyperlink"/>
            <w:noProof/>
          </w:rPr>
          <w:t>Tabelle 13 Übersicht Programmeinstellung der qRT-PCR</w:t>
        </w:r>
        <w:r w:rsidR="00C85902">
          <w:rPr>
            <w:noProof/>
            <w:webHidden/>
          </w:rPr>
          <w:tab/>
        </w:r>
        <w:r w:rsidR="00C85902">
          <w:rPr>
            <w:noProof/>
            <w:webHidden/>
          </w:rPr>
          <w:fldChar w:fldCharType="begin"/>
        </w:r>
        <w:r w:rsidR="00C85902">
          <w:rPr>
            <w:noProof/>
            <w:webHidden/>
          </w:rPr>
          <w:instrText xml:space="preserve"> PAGEREF _Toc120649855 \h </w:instrText>
        </w:r>
        <w:r w:rsidR="00C85902">
          <w:rPr>
            <w:noProof/>
            <w:webHidden/>
          </w:rPr>
        </w:r>
        <w:r w:rsidR="00C85902">
          <w:rPr>
            <w:noProof/>
            <w:webHidden/>
          </w:rPr>
          <w:fldChar w:fldCharType="separate"/>
        </w:r>
        <w:r w:rsidR="00791554">
          <w:rPr>
            <w:noProof/>
            <w:webHidden/>
          </w:rPr>
          <w:t>44</w:t>
        </w:r>
        <w:r w:rsidR="00C85902">
          <w:rPr>
            <w:noProof/>
            <w:webHidden/>
          </w:rPr>
          <w:fldChar w:fldCharType="end"/>
        </w:r>
      </w:hyperlink>
    </w:p>
    <w:p w14:paraId="13CDD6AC" w14:textId="79988CF9"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6" w:history="1">
        <w:r w:rsidR="00C85902" w:rsidRPr="009E0C28">
          <w:rPr>
            <w:rStyle w:val="Hyperlink"/>
            <w:noProof/>
          </w:rPr>
          <w:t>Tabelle 14 Western Blot Material für die Proteinbestimmung</w:t>
        </w:r>
        <w:r w:rsidR="00C85902">
          <w:rPr>
            <w:noProof/>
            <w:webHidden/>
          </w:rPr>
          <w:tab/>
        </w:r>
        <w:r w:rsidR="00C85902">
          <w:rPr>
            <w:noProof/>
            <w:webHidden/>
          </w:rPr>
          <w:fldChar w:fldCharType="begin"/>
        </w:r>
        <w:r w:rsidR="00C85902">
          <w:rPr>
            <w:noProof/>
            <w:webHidden/>
          </w:rPr>
          <w:instrText xml:space="preserve"> PAGEREF _Toc120649856 \h </w:instrText>
        </w:r>
        <w:r w:rsidR="00C85902">
          <w:rPr>
            <w:noProof/>
            <w:webHidden/>
          </w:rPr>
        </w:r>
        <w:r w:rsidR="00C85902">
          <w:rPr>
            <w:noProof/>
            <w:webHidden/>
          </w:rPr>
          <w:fldChar w:fldCharType="separate"/>
        </w:r>
        <w:r w:rsidR="00791554">
          <w:rPr>
            <w:noProof/>
            <w:webHidden/>
          </w:rPr>
          <w:t>46</w:t>
        </w:r>
        <w:r w:rsidR="00C85902">
          <w:rPr>
            <w:noProof/>
            <w:webHidden/>
          </w:rPr>
          <w:fldChar w:fldCharType="end"/>
        </w:r>
      </w:hyperlink>
    </w:p>
    <w:p w14:paraId="5AB1394F" w14:textId="01B9B259"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7" w:history="1">
        <w:r w:rsidR="00C85902" w:rsidRPr="009E0C28">
          <w:rPr>
            <w:rStyle w:val="Hyperlink"/>
            <w:noProof/>
          </w:rPr>
          <w:t>Tabelle 15 GlowMax Absorbtionswerte zur Erstellung der Kalibrierungslinie</w:t>
        </w:r>
        <w:r w:rsidR="00C85902">
          <w:rPr>
            <w:noProof/>
            <w:webHidden/>
          </w:rPr>
          <w:tab/>
        </w:r>
        <w:r w:rsidR="00C85902">
          <w:rPr>
            <w:noProof/>
            <w:webHidden/>
          </w:rPr>
          <w:fldChar w:fldCharType="begin"/>
        </w:r>
        <w:r w:rsidR="00C85902">
          <w:rPr>
            <w:noProof/>
            <w:webHidden/>
          </w:rPr>
          <w:instrText xml:space="preserve"> PAGEREF _Toc120649857 \h </w:instrText>
        </w:r>
        <w:r w:rsidR="00C85902">
          <w:rPr>
            <w:noProof/>
            <w:webHidden/>
          </w:rPr>
        </w:r>
        <w:r w:rsidR="00C85902">
          <w:rPr>
            <w:noProof/>
            <w:webHidden/>
          </w:rPr>
          <w:fldChar w:fldCharType="separate"/>
        </w:r>
        <w:r w:rsidR="00791554">
          <w:rPr>
            <w:noProof/>
            <w:webHidden/>
          </w:rPr>
          <w:t>48</w:t>
        </w:r>
        <w:r w:rsidR="00C85902">
          <w:rPr>
            <w:noProof/>
            <w:webHidden/>
          </w:rPr>
          <w:fldChar w:fldCharType="end"/>
        </w:r>
      </w:hyperlink>
    </w:p>
    <w:p w14:paraId="5BF067B6" w14:textId="122DDDE0"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8" w:history="1">
        <w:r w:rsidR="00C85902" w:rsidRPr="009E0C28">
          <w:rPr>
            <w:rStyle w:val="Hyperlink"/>
            <w:noProof/>
          </w:rPr>
          <w:t>Tabelle 16 Western Blot Material für Gele</w:t>
        </w:r>
        <w:r w:rsidR="00C85902">
          <w:rPr>
            <w:noProof/>
            <w:webHidden/>
          </w:rPr>
          <w:tab/>
        </w:r>
        <w:r w:rsidR="00C85902">
          <w:rPr>
            <w:noProof/>
            <w:webHidden/>
          </w:rPr>
          <w:fldChar w:fldCharType="begin"/>
        </w:r>
        <w:r w:rsidR="00C85902">
          <w:rPr>
            <w:noProof/>
            <w:webHidden/>
          </w:rPr>
          <w:instrText xml:space="preserve"> PAGEREF _Toc120649858 \h </w:instrText>
        </w:r>
        <w:r w:rsidR="00C85902">
          <w:rPr>
            <w:noProof/>
            <w:webHidden/>
          </w:rPr>
        </w:r>
        <w:r w:rsidR="00C85902">
          <w:rPr>
            <w:noProof/>
            <w:webHidden/>
          </w:rPr>
          <w:fldChar w:fldCharType="separate"/>
        </w:r>
        <w:r w:rsidR="00791554">
          <w:rPr>
            <w:noProof/>
            <w:webHidden/>
          </w:rPr>
          <w:t>50</w:t>
        </w:r>
        <w:r w:rsidR="00C85902">
          <w:rPr>
            <w:noProof/>
            <w:webHidden/>
          </w:rPr>
          <w:fldChar w:fldCharType="end"/>
        </w:r>
      </w:hyperlink>
    </w:p>
    <w:p w14:paraId="30C78D0E" w14:textId="61A0EEF0"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59" w:history="1">
        <w:r w:rsidR="00C85902" w:rsidRPr="009E0C28">
          <w:rPr>
            <w:rStyle w:val="Hyperlink"/>
            <w:noProof/>
          </w:rPr>
          <w:t>Tabelle 17 Western Blot Material für den Transfer</w:t>
        </w:r>
        <w:r w:rsidR="00C85902">
          <w:rPr>
            <w:noProof/>
            <w:webHidden/>
          </w:rPr>
          <w:tab/>
        </w:r>
        <w:r w:rsidR="00C85902">
          <w:rPr>
            <w:noProof/>
            <w:webHidden/>
          </w:rPr>
          <w:fldChar w:fldCharType="begin"/>
        </w:r>
        <w:r w:rsidR="00C85902">
          <w:rPr>
            <w:noProof/>
            <w:webHidden/>
          </w:rPr>
          <w:instrText xml:space="preserve"> PAGEREF _Toc120649859 \h </w:instrText>
        </w:r>
        <w:r w:rsidR="00C85902">
          <w:rPr>
            <w:noProof/>
            <w:webHidden/>
          </w:rPr>
        </w:r>
        <w:r w:rsidR="00C85902">
          <w:rPr>
            <w:noProof/>
            <w:webHidden/>
          </w:rPr>
          <w:fldChar w:fldCharType="separate"/>
        </w:r>
        <w:r w:rsidR="00791554">
          <w:rPr>
            <w:noProof/>
            <w:webHidden/>
          </w:rPr>
          <w:t>52</w:t>
        </w:r>
        <w:r w:rsidR="00C85902">
          <w:rPr>
            <w:noProof/>
            <w:webHidden/>
          </w:rPr>
          <w:fldChar w:fldCharType="end"/>
        </w:r>
      </w:hyperlink>
    </w:p>
    <w:p w14:paraId="727B270D" w14:textId="47A39DE4"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0" w:history="1">
        <w:r w:rsidR="00C85902" w:rsidRPr="009E0C28">
          <w:rPr>
            <w:rStyle w:val="Hyperlink"/>
            <w:noProof/>
          </w:rPr>
          <w:t>Tabelle 18 Western Blot Material Erst- und Zweitantikörper</w:t>
        </w:r>
        <w:r w:rsidR="00C85902">
          <w:rPr>
            <w:noProof/>
            <w:webHidden/>
          </w:rPr>
          <w:tab/>
        </w:r>
        <w:r w:rsidR="00C85902">
          <w:rPr>
            <w:noProof/>
            <w:webHidden/>
          </w:rPr>
          <w:fldChar w:fldCharType="begin"/>
        </w:r>
        <w:r w:rsidR="00C85902">
          <w:rPr>
            <w:noProof/>
            <w:webHidden/>
          </w:rPr>
          <w:instrText xml:space="preserve"> PAGEREF _Toc120649860 \h </w:instrText>
        </w:r>
        <w:r w:rsidR="00C85902">
          <w:rPr>
            <w:noProof/>
            <w:webHidden/>
          </w:rPr>
        </w:r>
        <w:r w:rsidR="00C85902">
          <w:rPr>
            <w:noProof/>
            <w:webHidden/>
          </w:rPr>
          <w:fldChar w:fldCharType="separate"/>
        </w:r>
        <w:r w:rsidR="00791554">
          <w:rPr>
            <w:noProof/>
            <w:webHidden/>
          </w:rPr>
          <w:t>54</w:t>
        </w:r>
        <w:r w:rsidR="00C85902">
          <w:rPr>
            <w:noProof/>
            <w:webHidden/>
          </w:rPr>
          <w:fldChar w:fldCharType="end"/>
        </w:r>
      </w:hyperlink>
    </w:p>
    <w:p w14:paraId="79961D2C" w14:textId="2337EA89"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1" w:history="1">
        <w:r w:rsidR="00C85902" w:rsidRPr="009E0C28">
          <w:rPr>
            <w:rStyle w:val="Hyperlink"/>
            <w:noProof/>
          </w:rPr>
          <w:t>Tabelle 19 Western Blot Material Stripping</w:t>
        </w:r>
        <w:r w:rsidR="00C85902">
          <w:rPr>
            <w:noProof/>
            <w:webHidden/>
          </w:rPr>
          <w:tab/>
        </w:r>
        <w:r w:rsidR="00C85902">
          <w:rPr>
            <w:noProof/>
            <w:webHidden/>
          </w:rPr>
          <w:fldChar w:fldCharType="begin"/>
        </w:r>
        <w:r w:rsidR="00C85902">
          <w:rPr>
            <w:noProof/>
            <w:webHidden/>
          </w:rPr>
          <w:instrText xml:space="preserve"> PAGEREF _Toc120649861 \h </w:instrText>
        </w:r>
        <w:r w:rsidR="00C85902">
          <w:rPr>
            <w:noProof/>
            <w:webHidden/>
          </w:rPr>
        </w:r>
        <w:r w:rsidR="00C85902">
          <w:rPr>
            <w:noProof/>
            <w:webHidden/>
          </w:rPr>
          <w:fldChar w:fldCharType="separate"/>
        </w:r>
        <w:r w:rsidR="00791554">
          <w:rPr>
            <w:noProof/>
            <w:webHidden/>
          </w:rPr>
          <w:t>55</w:t>
        </w:r>
        <w:r w:rsidR="00C85902">
          <w:rPr>
            <w:noProof/>
            <w:webHidden/>
          </w:rPr>
          <w:fldChar w:fldCharType="end"/>
        </w:r>
      </w:hyperlink>
    </w:p>
    <w:p w14:paraId="0EEA2024" w14:textId="6E05B85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2" w:history="1">
        <w:r w:rsidR="00C85902" w:rsidRPr="009E0C28">
          <w:rPr>
            <w:rStyle w:val="Hyperlink"/>
            <w:noProof/>
          </w:rPr>
          <w:t>Tabelle 20 Western Blot Material Antikörper Färbung der Housekeeping Proteine</w:t>
        </w:r>
        <w:r w:rsidR="00C85902">
          <w:rPr>
            <w:noProof/>
            <w:webHidden/>
          </w:rPr>
          <w:tab/>
        </w:r>
        <w:r w:rsidR="00C85902">
          <w:rPr>
            <w:noProof/>
            <w:webHidden/>
          </w:rPr>
          <w:fldChar w:fldCharType="begin"/>
        </w:r>
        <w:r w:rsidR="00C85902">
          <w:rPr>
            <w:noProof/>
            <w:webHidden/>
          </w:rPr>
          <w:instrText xml:space="preserve"> PAGEREF _Toc120649862 \h </w:instrText>
        </w:r>
        <w:r w:rsidR="00C85902">
          <w:rPr>
            <w:noProof/>
            <w:webHidden/>
          </w:rPr>
        </w:r>
        <w:r w:rsidR="00C85902">
          <w:rPr>
            <w:noProof/>
            <w:webHidden/>
          </w:rPr>
          <w:fldChar w:fldCharType="separate"/>
        </w:r>
        <w:r w:rsidR="00791554">
          <w:rPr>
            <w:noProof/>
            <w:webHidden/>
          </w:rPr>
          <w:t>55</w:t>
        </w:r>
        <w:r w:rsidR="00C85902">
          <w:rPr>
            <w:noProof/>
            <w:webHidden/>
          </w:rPr>
          <w:fldChar w:fldCharType="end"/>
        </w:r>
      </w:hyperlink>
    </w:p>
    <w:p w14:paraId="46DFC1FF" w14:textId="36E1B634"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3" w:history="1">
        <w:r w:rsidR="00C85902" w:rsidRPr="009E0C28">
          <w:rPr>
            <w:rStyle w:val="Hyperlink"/>
            <w:noProof/>
          </w:rPr>
          <w:t>Tabelle 21 Material Durchflusszytometrie</w:t>
        </w:r>
        <w:r w:rsidR="00C85902">
          <w:rPr>
            <w:noProof/>
            <w:webHidden/>
          </w:rPr>
          <w:tab/>
        </w:r>
        <w:r w:rsidR="00C85902">
          <w:rPr>
            <w:noProof/>
            <w:webHidden/>
          </w:rPr>
          <w:fldChar w:fldCharType="begin"/>
        </w:r>
        <w:r w:rsidR="00C85902">
          <w:rPr>
            <w:noProof/>
            <w:webHidden/>
          </w:rPr>
          <w:instrText xml:space="preserve"> PAGEREF _Toc120649863 \h </w:instrText>
        </w:r>
        <w:r w:rsidR="00C85902">
          <w:rPr>
            <w:noProof/>
            <w:webHidden/>
          </w:rPr>
        </w:r>
        <w:r w:rsidR="00C85902">
          <w:rPr>
            <w:noProof/>
            <w:webHidden/>
          </w:rPr>
          <w:fldChar w:fldCharType="separate"/>
        </w:r>
        <w:r w:rsidR="00791554">
          <w:rPr>
            <w:noProof/>
            <w:webHidden/>
          </w:rPr>
          <w:t>56</w:t>
        </w:r>
        <w:r w:rsidR="00C85902">
          <w:rPr>
            <w:noProof/>
            <w:webHidden/>
          </w:rPr>
          <w:fldChar w:fldCharType="end"/>
        </w:r>
      </w:hyperlink>
    </w:p>
    <w:p w14:paraId="112220F7" w14:textId="0382B50B"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4" w:history="1">
        <w:r w:rsidR="00C85902" w:rsidRPr="009E0C28">
          <w:rPr>
            <w:rStyle w:val="Hyperlink"/>
            <w:noProof/>
          </w:rPr>
          <w:t xml:space="preserve">Tabelle 22 Material MycoSPY </w:t>
        </w:r>
        <w:r w:rsidR="00C85902" w:rsidRPr="009E0C28">
          <w:rPr>
            <w:rStyle w:val="Hyperlink"/>
            <w:noProof/>
            <w:vertAlign w:val="superscript"/>
          </w:rPr>
          <w:t>®</w:t>
        </w:r>
        <w:r w:rsidR="00C85902">
          <w:rPr>
            <w:noProof/>
            <w:webHidden/>
          </w:rPr>
          <w:tab/>
        </w:r>
        <w:r w:rsidR="00C85902">
          <w:rPr>
            <w:noProof/>
            <w:webHidden/>
          </w:rPr>
          <w:fldChar w:fldCharType="begin"/>
        </w:r>
        <w:r w:rsidR="00C85902">
          <w:rPr>
            <w:noProof/>
            <w:webHidden/>
          </w:rPr>
          <w:instrText xml:space="preserve"> PAGEREF _Toc120649864 \h </w:instrText>
        </w:r>
        <w:r w:rsidR="00C85902">
          <w:rPr>
            <w:noProof/>
            <w:webHidden/>
          </w:rPr>
        </w:r>
        <w:r w:rsidR="00C85902">
          <w:rPr>
            <w:noProof/>
            <w:webHidden/>
          </w:rPr>
          <w:fldChar w:fldCharType="separate"/>
        </w:r>
        <w:r w:rsidR="00791554">
          <w:rPr>
            <w:noProof/>
            <w:webHidden/>
          </w:rPr>
          <w:t>59</w:t>
        </w:r>
        <w:r w:rsidR="00C85902">
          <w:rPr>
            <w:noProof/>
            <w:webHidden/>
          </w:rPr>
          <w:fldChar w:fldCharType="end"/>
        </w:r>
      </w:hyperlink>
    </w:p>
    <w:p w14:paraId="65576896" w14:textId="5F3949B1"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5" w:history="1">
        <w:r w:rsidR="00C85902" w:rsidRPr="009E0C28">
          <w:rPr>
            <w:rStyle w:val="Hyperlink"/>
            <w:noProof/>
          </w:rPr>
          <w:t>Tabelle 23 Material zur Herstellung des Agarosegels</w:t>
        </w:r>
        <w:r w:rsidR="00C85902">
          <w:rPr>
            <w:noProof/>
            <w:webHidden/>
          </w:rPr>
          <w:tab/>
        </w:r>
        <w:r w:rsidR="00C85902">
          <w:rPr>
            <w:noProof/>
            <w:webHidden/>
          </w:rPr>
          <w:fldChar w:fldCharType="begin"/>
        </w:r>
        <w:r w:rsidR="00C85902">
          <w:rPr>
            <w:noProof/>
            <w:webHidden/>
          </w:rPr>
          <w:instrText xml:space="preserve"> PAGEREF _Toc120649865 \h </w:instrText>
        </w:r>
        <w:r w:rsidR="00C85902">
          <w:rPr>
            <w:noProof/>
            <w:webHidden/>
          </w:rPr>
        </w:r>
        <w:r w:rsidR="00C85902">
          <w:rPr>
            <w:noProof/>
            <w:webHidden/>
          </w:rPr>
          <w:fldChar w:fldCharType="separate"/>
        </w:r>
        <w:r w:rsidR="00791554">
          <w:rPr>
            <w:noProof/>
            <w:webHidden/>
          </w:rPr>
          <w:t>61</w:t>
        </w:r>
        <w:r w:rsidR="00C85902">
          <w:rPr>
            <w:noProof/>
            <w:webHidden/>
          </w:rPr>
          <w:fldChar w:fldCharType="end"/>
        </w:r>
      </w:hyperlink>
    </w:p>
    <w:p w14:paraId="65543FEC" w14:textId="5B02F3C2"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6" w:history="1">
        <w:r w:rsidR="00C85902" w:rsidRPr="009E0C28">
          <w:rPr>
            <w:rStyle w:val="Hyperlink"/>
            <w:noProof/>
          </w:rPr>
          <w:t>Tabelle 24 Daten der Duplikationstaten der Zelllinien</w:t>
        </w:r>
        <w:r w:rsidR="00C85902">
          <w:rPr>
            <w:noProof/>
            <w:webHidden/>
          </w:rPr>
          <w:tab/>
        </w:r>
        <w:r w:rsidR="00C85902">
          <w:rPr>
            <w:noProof/>
            <w:webHidden/>
          </w:rPr>
          <w:fldChar w:fldCharType="begin"/>
        </w:r>
        <w:r w:rsidR="00C85902">
          <w:rPr>
            <w:noProof/>
            <w:webHidden/>
          </w:rPr>
          <w:instrText xml:space="preserve"> PAGEREF _Toc120649866 \h </w:instrText>
        </w:r>
        <w:r w:rsidR="00C85902">
          <w:rPr>
            <w:noProof/>
            <w:webHidden/>
          </w:rPr>
        </w:r>
        <w:r w:rsidR="00C85902">
          <w:rPr>
            <w:noProof/>
            <w:webHidden/>
          </w:rPr>
          <w:fldChar w:fldCharType="separate"/>
        </w:r>
        <w:r w:rsidR="00791554">
          <w:rPr>
            <w:noProof/>
            <w:webHidden/>
          </w:rPr>
          <w:t>63</w:t>
        </w:r>
        <w:r w:rsidR="00C85902">
          <w:rPr>
            <w:noProof/>
            <w:webHidden/>
          </w:rPr>
          <w:fldChar w:fldCharType="end"/>
        </w:r>
      </w:hyperlink>
    </w:p>
    <w:p w14:paraId="6C251D1E" w14:textId="26B3C6D1"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7" w:history="1">
        <w:r w:rsidR="00C85902" w:rsidRPr="009E0C28">
          <w:rPr>
            <w:rStyle w:val="Hyperlink"/>
            <w:noProof/>
          </w:rPr>
          <w:t>Tabelle 25 Werte der CD276 mRNA Expression in Cal29</w:t>
        </w:r>
        <w:r w:rsidR="00C85902">
          <w:rPr>
            <w:noProof/>
            <w:webHidden/>
          </w:rPr>
          <w:tab/>
        </w:r>
        <w:r w:rsidR="00C85902">
          <w:rPr>
            <w:noProof/>
            <w:webHidden/>
          </w:rPr>
          <w:fldChar w:fldCharType="begin"/>
        </w:r>
        <w:r w:rsidR="00C85902">
          <w:rPr>
            <w:noProof/>
            <w:webHidden/>
          </w:rPr>
          <w:instrText xml:space="preserve"> PAGEREF _Toc120649867 \h </w:instrText>
        </w:r>
        <w:r w:rsidR="00C85902">
          <w:rPr>
            <w:noProof/>
            <w:webHidden/>
          </w:rPr>
        </w:r>
        <w:r w:rsidR="00C85902">
          <w:rPr>
            <w:noProof/>
            <w:webHidden/>
          </w:rPr>
          <w:fldChar w:fldCharType="separate"/>
        </w:r>
        <w:r w:rsidR="00791554">
          <w:rPr>
            <w:noProof/>
            <w:webHidden/>
          </w:rPr>
          <w:t>74</w:t>
        </w:r>
        <w:r w:rsidR="00C85902">
          <w:rPr>
            <w:noProof/>
            <w:webHidden/>
          </w:rPr>
          <w:fldChar w:fldCharType="end"/>
        </w:r>
      </w:hyperlink>
    </w:p>
    <w:p w14:paraId="66DB06AD" w14:textId="5D5F97B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8" w:history="1">
        <w:r w:rsidR="00C85902" w:rsidRPr="009E0C28">
          <w:rPr>
            <w:rStyle w:val="Hyperlink"/>
            <w:noProof/>
          </w:rPr>
          <w:t>Tabelle 26 Werte der CD276 mRNA Expression bei T24</w:t>
        </w:r>
        <w:r w:rsidR="00C85902">
          <w:rPr>
            <w:noProof/>
            <w:webHidden/>
          </w:rPr>
          <w:tab/>
        </w:r>
        <w:r w:rsidR="00C85902">
          <w:rPr>
            <w:noProof/>
            <w:webHidden/>
          </w:rPr>
          <w:fldChar w:fldCharType="begin"/>
        </w:r>
        <w:r w:rsidR="00C85902">
          <w:rPr>
            <w:noProof/>
            <w:webHidden/>
          </w:rPr>
          <w:instrText xml:space="preserve"> PAGEREF _Toc120649868 \h </w:instrText>
        </w:r>
        <w:r w:rsidR="00C85902">
          <w:rPr>
            <w:noProof/>
            <w:webHidden/>
          </w:rPr>
        </w:r>
        <w:r w:rsidR="00C85902">
          <w:rPr>
            <w:noProof/>
            <w:webHidden/>
          </w:rPr>
          <w:fldChar w:fldCharType="separate"/>
        </w:r>
        <w:r w:rsidR="00791554">
          <w:rPr>
            <w:noProof/>
            <w:webHidden/>
          </w:rPr>
          <w:t>75</w:t>
        </w:r>
        <w:r w:rsidR="00C85902">
          <w:rPr>
            <w:noProof/>
            <w:webHidden/>
          </w:rPr>
          <w:fldChar w:fldCharType="end"/>
        </w:r>
      </w:hyperlink>
    </w:p>
    <w:p w14:paraId="7B9C0192" w14:textId="0912A07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69" w:history="1">
        <w:r w:rsidR="00C85902" w:rsidRPr="009E0C28">
          <w:rPr>
            <w:rStyle w:val="Hyperlink"/>
            <w:noProof/>
          </w:rPr>
          <w:t>Tabelle 27 Werte der CD276 mRNA Expression bei HT1197</w:t>
        </w:r>
        <w:r w:rsidR="00C85902">
          <w:rPr>
            <w:noProof/>
            <w:webHidden/>
          </w:rPr>
          <w:tab/>
        </w:r>
        <w:r w:rsidR="00C85902">
          <w:rPr>
            <w:noProof/>
            <w:webHidden/>
          </w:rPr>
          <w:fldChar w:fldCharType="begin"/>
        </w:r>
        <w:r w:rsidR="00C85902">
          <w:rPr>
            <w:noProof/>
            <w:webHidden/>
          </w:rPr>
          <w:instrText xml:space="preserve"> PAGEREF _Toc120649869 \h </w:instrText>
        </w:r>
        <w:r w:rsidR="00C85902">
          <w:rPr>
            <w:noProof/>
            <w:webHidden/>
          </w:rPr>
        </w:r>
        <w:r w:rsidR="00C85902">
          <w:rPr>
            <w:noProof/>
            <w:webHidden/>
          </w:rPr>
          <w:fldChar w:fldCharType="separate"/>
        </w:r>
        <w:r w:rsidR="00791554">
          <w:rPr>
            <w:noProof/>
            <w:webHidden/>
          </w:rPr>
          <w:t>76</w:t>
        </w:r>
        <w:r w:rsidR="00C85902">
          <w:rPr>
            <w:noProof/>
            <w:webHidden/>
          </w:rPr>
          <w:fldChar w:fldCharType="end"/>
        </w:r>
      </w:hyperlink>
    </w:p>
    <w:p w14:paraId="2AF53F5E" w14:textId="27EAAE5F"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0" w:history="1">
        <w:r w:rsidR="00C85902" w:rsidRPr="009E0C28">
          <w:rPr>
            <w:rStyle w:val="Hyperlink"/>
            <w:noProof/>
          </w:rPr>
          <w:t>Tabelle 28 Werte der CD276 mRNA Expression in HL 20/31 Zellen</w:t>
        </w:r>
        <w:r w:rsidR="00C85902">
          <w:rPr>
            <w:noProof/>
            <w:webHidden/>
          </w:rPr>
          <w:tab/>
        </w:r>
        <w:r w:rsidR="00C85902">
          <w:rPr>
            <w:noProof/>
            <w:webHidden/>
          </w:rPr>
          <w:fldChar w:fldCharType="begin"/>
        </w:r>
        <w:r w:rsidR="00C85902">
          <w:rPr>
            <w:noProof/>
            <w:webHidden/>
          </w:rPr>
          <w:instrText xml:space="preserve"> PAGEREF _Toc120649870 \h </w:instrText>
        </w:r>
        <w:r w:rsidR="00C85902">
          <w:rPr>
            <w:noProof/>
            <w:webHidden/>
          </w:rPr>
        </w:r>
        <w:r w:rsidR="00C85902">
          <w:rPr>
            <w:noProof/>
            <w:webHidden/>
          </w:rPr>
          <w:fldChar w:fldCharType="separate"/>
        </w:r>
        <w:r w:rsidR="00791554">
          <w:rPr>
            <w:noProof/>
            <w:webHidden/>
          </w:rPr>
          <w:t>78</w:t>
        </w:r>
        <w:r w:rsidR="00C85902">
          <w:rPr>
            <w:noProof/>
            <w:webHidden/>
          </w:rPr>
          <w:fldChar w:fldCharType="end"/>
        </w:r>
      </w:hyperlink>
    </w:p>
    <w:p w14:paraId="1D8CC068" w14:textId="61BD8F1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1" w:history="1">
        <w:r w:rsidR="00C85902" w:rsidRPr="009E0C28">
          <w:rPr>
            <w:rStyle w:val="Hyperlink"/>
            <w:noProof/>
          </w:rPr>
          <w:t>Tabelle 29 Werte der CD276 mRNA Expression in HL 20/32 Zellen</w:t>
        </w:r>
        <w:r w:rsidR="00C85902">
          <w:rPr>
            <w:noProof/>
            <w:webHidden/>
          </w:rPr>
          <w:tab/>
        </w:r>
        <w:r w:rsidR="00C85902">
          <w:rPr>
            <w:noProof/>
            <w:webHidden/>
          </w:rPr>
          <w:fldChar w:fldCharType="begin"/>
        </w:r>
        <w:r w:rsidR="00C85902">
          <w:rPr>
            <w:noProof/>
            <w:webHidden/>
          </w:rPr>
          <w:instrText xml:space="preserve"> PAGEREF _Toc120649871 \h </w:instrText>
        </w:r>
        <w:r w:rsidR="00C85902">
          <w:rPr>
            <w:noProof/>
            <w:webHidden/>
          </w:rPr>
        </w:r>
        <w:r w:rsidR="00C85902">
          <w:rPr>
            <w:noProof/>
            <w:webHidden/>
          </w:rPr>
          <w:fldChar w:fldCharType="separate"/>
        </w:r>
        <w:r w:rsidR="00791554">
          <w:rPr>
            <w:noProof/>
            <w:webHidden/>
          </w:rPr>
          <w:t>79</w:t>
        </w:r>
        <w:r w:rsidR="00C85902">
          <w:rPr>
            <w:noProof/>
            <w:webHidden/>
          </w:rPr>
          <w:fldChar w:fldCharType="end"/>
        </w:r>
      </w:hyperlink>
    </w:p>
    <w:p w14:paraId="3BBE25A8" w14:textId="454FCF8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2" w:history="1">
        <w:r w:rsidR="00C85902" w:rsidRPr="009E0C28">
          <w:rPr>
            <w:rStyle w:val="Hyperlink"/>
            <w:noProof/>
          </w:rPr>
          <w:t>Tabelle 30 Verhältnis Pigmentdichte CD276 Protein zu ß-Aktin im Western Blot</w:t>
        </w:r>
        <w:r w:rsidR="00C85902">
          <w:rPr>
            <w:noProof/>
            <w:webHidden/>
          </w:rPr>
          <w:tab/>
        </w:r>
        <w:r w:rsidR="00C85902">
          <w:rPr>
            <w:noProof/>
            <w:webHidden/>
          </w:rPr>
          <w:fldChar w:fldCharType="begin"/>
        </w:r>
        <w:r w:rsidR="00C85902">
          <w:rPr>
            <w:noProof/>
            <w:webHidden/>
          </w:rPr>
          <w:instrText xml:space="preserve"> PAGEREF _Toc120649872 \h </w:instrText>
        </w:r>
        <w:r w:rsidR="00C85902">
          <w:rPr>
            <w:noProof/>
            <w:webHidden/>
          </w:rPr>
        </w:r>
        <w:r w:rsidR="00C85902">
          <w:rPr>
            <w:noProof/>
            <w:webHidden/>
          </w:rPr>
          <w:fldChar w:fldCharType="separate"/>
        </w:r>
        <w:r w:rsidR="00791554">
          <w:rPr>
            <w:noProof/>
            <w:webHidden/>
          </w:rPr>
          <w:t>84</w:t>
        </w:r>
        <w:r w:rsidR="00C85902">
          <w:rPr>
            <w:noProof/>
            <w:webHidden/>
          </w:rPr>
          <w:fldChar w:fldCharType="end"/>
        </w:r>
      </w:hyperlink>
    </w:p>
    <w:p w14:paraId="08B769A3" w14:textId="1377234E"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3" w:history="1">
        <w:r w:rsidR="00C85902" w:rsidRPr="009E0C28">
          <w:rPr>
            <w:rStyle w:val="Hyperlink"/>
            <w:noProof/>
          </w:rPr>
          <w:t>Tabelle 31 Ergebnisübersicht der CD276 Expression auf unterschiedlichen Ebenen in T24</w:t>
        </w:r>
        <w:r w:rsidR="00C85902">
          <w:rPr>
            <w:noProof/>
            <w:webHidden/>
          </w:rPr>
          <w:tab/>
        </w:r>
        <w:r w:rsidR="00C85902">
          <w:rPr>
            <w:noProof/>
            <w:webHidden/>
          </w:rPr>
          <w:fldChar w:fldCharType="begin"/>
        </w:r>
        <w:r w:rsidR="00C85902">
          <w:rPr>
            <w:noProof/>
            <w:webHidden/>
          </w:rPr>
          <w:instrText xml:space="preserve"> PAGEREF _Toc120649873 \h </w:instrText>
        </w:r>
        <w:r w:rsidR="00C85902">
          <w:rPr>
            <w:noProof/>
            <w:webHidden/>
          </w:rPr>
        </w:r>
        <w:r w:rsidR="00C85902">
          <w:rPr>
            <w:noProof/>
            <w:webHidden/>
          </w:rPr>
          <w:fldChar w:fldCharType="separate"/>
        </w:r>
        <w:r w:rsidR="00791554">
          <w:rPr>
            <w:noProof/>
            <w:webHidden/>
          </w:rPr>
          <w:t>88</w:t>
        </w:r>
        <w:r w:rsidR="00C85902">
          <w:rPr>
            <w:noProof/>
            <w:webHidden/>
          </w:rPr>
          <w:fldChar w:fldCharType="end"/>
        </w:r>
      </w:hyperlink>
    </w:p>
    <w:p w14:paraId="7F5C5040" w14:textId="6CDEE670"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4" w:history="1">
        <w:r w:rsidR="00C85902" w:rsidRPr="009E0C28">
          <w:rPr>
            <w:rStyle w:val="Hyperlink"/>
            <w:noProof/>
          </w:rPr>
          <w:t>Tabelle 32 Ergebnisübersicht der CD276 Expression auf unterschiedlichen Ebenen in Cal29</w:t>
        </w:r>
        <w:r w:rsidR="00C85902">
          <w:rPr>
            <w:noProof/>
            <w:webHidden/>
          </w:rPr>
          <w:tab/>
        </w:r>
        <w:r w:rsidR="00C85902">
          <w:rPr>
            <w:noProof/>
            <w:webHidden/>
          </w:rPr>
          <w:fldChar w:fldCharType="begin"/>
        </w:r>
        <w:r w:rsidR="00C85902">
          <w:rPr>
            <w:noProof/>
            <w:webHidden/>
          </w:rPr>
          <w:instrText xml:space="preserve"> PAGEREF _Toc120649874 \h </w:instrText>
        </w:r>
        <w:r w:rsidR="00C85902">
          <w:rPr>
            <w:noProof/>
            <w:webHidden/>
          </w:rPr>
        </w:r>
        <w:r w:rsidR="00C85902">
          <w:rPr>
            <w:noProof/>
            <w:webHidden/>
          </w:rPr>
          <w:fldChar w:fldCharType="separate"/>
        </w:r>
        <w:r w:rsidR="00791554">
          <w:rPr>
            <w:noProof/>
            <w:webHidden/>
          </w:rPr>
          <w:t>88</w:t>
        </w:r>
        <w:r w:rsidR="00C85902">
          <w:rPr>
            <w:noProof/>
            <w:webHidden/>
          </w:rPr>
          <w:fldChar w:fldCharType="end"/>
        </w:r>
      </w:hyperlink>
    </w:p>
    <w:p w14:paraId="137FB6BE" w14:textId="03AF8F8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5" w:history="1">
        <w:r w:rsidR="00C85902" w:rsidRPr="009E0C28">
          <w:rPr>
            <w:rStyle w:val="Hyperlink"/>
            <w:noProof/>
          </w:rPr>
          <w:t>Tabelle 33 Ergebnisübersicht der CD276 Expression auf unterschiedlichen Ebenen in HT1197</w:t>
        </w:r>
        <w:r w:rsidR="00C85902">
          <w:rPr>
            <w:noProof/>
            <w:webHidden/>
          </w:rPr>
          <w:tab/>
        </w:r>
        <w:r w:rsidR="00C85902">
          <w:rPr>
            <w:noProof/>
            <w:webHidden/>
          </w:rPr>
          <w:fldChar w:fldCharType="begin"/>
        </w:r>
        <w:r w:rsidR="00C85902">
          <w:rPr>
            <w:noProof/>
            <w:webHidden/>
          </w:rPr>
          <w:instrText xml:space="preserve"> PAGEREF _Toc120649875 \h </w:instrText>
        </w:r>
        <w:r w:rsidR="00C85902">
          <w:rPr>
            <w:noProof/>
            <w:webHidden/>
          </w:rPr>
        </w:r>
        <w:r w:rsidR="00C85902">
          <w:rPr>
            <w:noProof/>
            <w:webHidden/>
          </w:rPr>
          <w:fldChar w:fldCharType="separate"/>
        </w:r>
        <w:r w:rsidR="00791554">
          <w:rPr>
            <w:noProof/>
            <w:webHidden/>
          </w:rPr>
          <w:t>89</w:t>
        </w:r>
        <w:r w:rsidR="00C85902">
          <w:rPr>
            <w:noProof/>
            <w:webHidden/>
          </w:rPr>
          <w:fldChar w:fldCharType="end"/>
        </w:r>
      </w:hyperlink>
    </w:p>
    <w:p w14:paraId="25924482" w14:textId="0F1FB719"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6" w:history="1">
        <w:r w:rsidR="00C85902" w:rsidRPr="009E0C28">
          <w:rPr>
            <w:rStyle w:val="Hyperlink"/>
            <w:noProof/>
          </w:rPr>
          <w:t>Tabelle 34 Ergebnisübersicht der CD276 Expression auf unterschiedlichen Ebenen in Harnleiter 20/31</w:t>
        </w:r>
        <w:r w:rsidR="00C85902">
          <w:rPr>
            <w:noProof/>
            <w:webHidden/>
          </w:rPr>
          <w:tab/>
        </w:r>
        <w:r w:rsidR="00C85902">
          <w:rPr>
            <w:noProof/>
            <w:webHidden/>
          </w:rPr>
          <w:fldChar w:fldCharType="begin"/>
        </w:r>
        <w:r w:rsidR="00C85902">
          <w:rPr>
            <w:noProof/>
            <w:webHidden/>
          </w:rPr>
          <w:instrText xml:space="preserve"> PAGEREF _Toc120649876 \h </w:instrText>
        </w:r>
        <w:r w:rsidR="00C85902">
          <w:rPr>
            <w:noProof/>
            <w:webHidden/>
          </w:rPr>
        </w:r>
        <w:r w:rsidR="00C85902">
          <w:rPr>
            <w:noProof/>
            <w:webHidden/>
          </w:rPr>
          <w:fldChar w:fldCharType="separate"/>
        </w:r>
        <w:r w:rsidR="00791554">
          <w:rPr>
            <w:noProof/>
            <w:webHidden/>
          </w:rPr>
          <w:t>90</w:t>
        </w:r>
        <w:r w:rsidR="00C85902">
          <w:rPr>
            <w:noProof/>
            <w:webHidden/>
          </w:rPr>
          <w:fldChar w:fldCharType="end"/>
        </w:r>
      </w:hyperlink>
    </w:p>
    <w:p w14:paraId="775AEC84" w14:textId="36FD621C"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7" w:history="1">
        <w:r w:rsidR="00C85902" w:rsidRPr="009E0C28">
          <w:rPr>
            <w:rStyle w:val="Hyperlink"/>
            <w:noProof/>
          </w:rPr>
          <w:t>Tabelle 35 Ergebnisübersicht der CD276 Expession auf unterschiedlichen Ebenen in Harnleiter 20/32</w:t>
        </w:r>
        <w:r w:rsidR="00C85902">
          <w:rPr>
            <w:noProof/>
            <w:webHidden/>
          </w:rPr>
          <w:tab/>
        </w:r>
        <w:r w:rsidR="00C85902">
          <w:rPr>
            <w:noProof/>
            <w:webHidden/>
          </w:rPr>
          <w:fldChar w:fldCharType="begin"/>
        </w:r>
        <w:r w:rsidR="00C85902">
          <w:rPr>
            <w:noProof/>
            <w:webHidden/>
          </w:rPr>
          <w:instrText xml:space="preserve"> PAGEREF _Toc120649877 \h </w:instrText>
        </w:r>
        <w:r w:rsidR="00C85902">
          <w:rPr>
            <w:noProof/>
            <w:webHidden/>
          </w:rPr>
        </w:r>
        <w:r w:rsidR="00C85902">
          <w:rPr>
            <w:noProof/>
            <w:webHidden/>
          </w:rPr>
          <w:fldChar w:fldCharType="separate"/>
        </w:r>
        <w:r w:rsidR="00791554">
          <w:rPr>
            <w:noProof/>
            <w:webHidden/>
          </w:rPr>
          <w:t>91</w:t>
        </w:r>
        <w:r w:rsidR="00C85902">
          <w:rPr>
            <w:noProof/>
            <w:webHidden/>
          </w:rPr>
          <w:fldChar w:fldCharType="end"/>
        </w:r>
      </w:hyperlink>
    </w:p>
    <w:p w14:paraId="7630741E" w14:textId="77777777" w:rsidR="00C85902" w:rsidRDefault="00C85902" w:rsidP="00582C59">
      <w:r>
        <w:fldChar w:fldCharType="end"/>
      </w:r>
    </w:p>
    <w:p w14:paraId="3BE39FF4" w14:textId="77777777" w:rsidR="00C85902" w:rsidRPr="00202A79" w:rsidRDefault="00C85902" w:rsidP="00582C59">
      <w:pPr>
        <w:rPr>
          <w:b/>
          <w:bCs/>
          <w:u w:val="single"/>
        </w:rPr>
      </w:pPr>
      <w:r w:rsidRPr="00202A79">
        <w:rPr>
          <w:b/>
          <w:bCs/>
          <w:u w:val="single"/>
        </w:rPr>
        <w:t>Abbildungsverzeichnis</w:t>
      </w:r>
    </w:p>
    <w:p w14:paraId="267C33A0" w14:textId="5501EADF" w:rsidR="00C85902" w:rsidRDefault="00C85902">
      <w:pPr>
        <w:pStyle w:val="Abbildungsverzeichnis"/>
        <w:tabs>
          <w:tab w:val="right" w:leader="dot" w:pos="8494"/>
        </w:tabs>
        <w:rPr>
          <w:rFonts w:asciiTheme="minorHAnsi" w:eastAsiaTheme="minorEastAsia" w:hAnsiTheme="minorHAnsi"/>
          <w:noProof/>
          <w:sz w:val="22"/>
          <w:lang w:eastAsia="de-DE"/>
        </w:rPr>
      </w:pPr>
      <w:r>
        <w:fldChar w:fldCharType="begin"/>
      </w:r>
      <w:r>
        <w:instrText xml:space="preserve"> TOC \h \z \c "Abbildung" </w:instrText>
      </w:r>
      <w:r>
        <w:fldChar w:fldCharType="separate"/>
      </w:r>
      <w:hyperlink w:anchor="_Toc120649878" w:history="1">
        <w:r w:rsidRPr="00E26603">
          <w:rPr>
            <w:rStyle w:val="Hyperlink"/>
            <w:noProof/>
          </w:rPr>
          <w:t>Abbildung 1 Übersicht Vorkommen und Aufbau von Urothel</w:t>
        </w:r>
        <w:r>
          <w:rPr>
            <w:noProof/>
            <w:webHidden/>
          </w:rPr>
          <w:tab/>
        </w:r>
        <w:r>
          <w:rPr>
            <w:noProof/>
            <w:webHidden/>
          </w:rPr>
          <w:fldChar w:fldCharType="begin"/>
        </w:r>
        <w:r>
          <w:rPr>
            <w:noProof/>
            <w:webHidden/>
          </w:rPr>
          <w:instrText xml:space="preserve"> PAGEREF _Toc120649878 \h </w:instrText>
        </w:r>
        <w:r>
          <w:rPr>
            <w:noProof/>
            <w:webHidden/>
          </w:rPr>
        </w:r>
        <w:r>
          <w:rPr>
            <w:noProof/>
            <w:webHidden/>
          </w:rPr>
          <w:fldChar w:fldCharType="separate"/>
        </w:r>
        <w:r w:rsidR="00791554">
          <w:rPr>
            <w:noProof/>
            <w:webHidden/>
          </w:rPr>
          <w:t>9</w:t>
        </w:r>
        <w:r>
          <w:rPr>
            <w:noProof/>
            <w:webHidden/>
          </w:rPr>
          <w:fldChar w:fldCharType="end"/>
        </w:r>
      </w:hyperlink>
    </w:p>
    <w:p w14:paraId="05D54EC1" w14:textId="19D7EE0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79" w:history="1">
        <w:r w:rsidR="00C85902" w:rsidRPr="00E26603">
          <w:rPr>
            <w:rStyle w:val="Hyperlink"/>
            <w:noProof/>
          </w:rPr>
          <w:t>Abbildung 2 TNM-Klassifikation des Blasenkrebs</w:t>
        </w:r>
        <w:r w:rsidR="00C85902">
          <w:rPr>
            <w:noProof/>
            <w:webHidden/>
          </w:rPr>
          <w:tab/>
        </w:r>
        <w:r w:rsidR="00C85902">
          <w:rPr>
            <w:noProof/>
            <w:webHidden/>
          </w:rPr>
          <w:fldChar w:fldCharType="begin"/>
        </w:r>
        <w:r w:rsidR="00C85902">
          <w:rPr>
            <w:noProof/>
            <w:webHidden/>
          </w:rPr>
          <w:instrText xml:space="preserve"> PAGEREF _Toc120649879 \h </w:instrText>
        </w:r>
        <w:r w:rsidR="00C85902">
          <w:rPr>
            <w:noProof/>
            <w:webHidden/>
          </w:rPr>
        </w:r>
        <w:r w:rsidR="00C85902">
          <w:rPr>
            <w:noProof/>
            <w:webHidden/>
          </w:rPr>
          <w:fldChar w:fldCharType="separate"/>
        </w:r>
        <w:r w:rsidR="00791554">
          <w:rPr>
            <w:noProof/>
            <w:webHidden/>
          </w:rPr>
          <w:t>14</w:t>
        </w:r>
        <w:r w:rsidR="00C85902">
          <w:rPr>
            <w:noProof/>
            <w:webHidden/>
          </w:rPr>
          <w:fldChar w:fldCharType="end"/>
        </w:r>
      </w:hyperlink>
    </w:p>
    <w:p w14:paraId="633AFC7B" w14:textId="46BCCB1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0" w:history="1">
        <w:r w:rsidR="00C85902" w:rsidRPr="00E26603">
          <w:rPr>
            <w:rStyle w:val="Hyperlink"/>
            <w:noProof/>
          </w:rPr>
          <w:t>Abbildung 3 Versuchsaufbau der etablierten Zelllinien Cal29, T24 und HT1197</w:t>
        </w:r>
        <w:r w:rsidR="00C85902">
          <w:rPr>
            <w:noProof/>
            <w:webHidden/>
          </w:rPr>
          <w:tab/>
        </w:r>
        <w:r w:rsidR="00C85902">
          <w:rPr>
            <w:noProof/>
            <w:webHidden/>
          </w:rPr>
          <w:fldChar w:fldCharType="begin"/>
        </w:r>
        <w:r w:rsidR="00C85902">
          <w:rPr>
            <w:noProof/>
            <w:webHidden/>
          </w:rPr>
          <w:instrText xml:space="preserve"> PAGEREF _Toc120649880 \h </w:instrText>
        </w:r>
        <w:r w:rsidR="00C85902">
          <w:rPr>
            <w:noProof/>
            <w:webHidden/>
          </w:rPr>
        </w:r>
        <w:r w:rsidR="00C85902">
          <w:rPr>
            <w:noProof/>
            <w:webHidden/>
          </w:rPr>
          <w:fldChar w:fldCharType="separate"/>
        </w:r>
        <w:r w:rsidR="00791554">
          <w:rPr>
            <w:noProof/>
            <w:webHidden/>
          </w:rPr>
          <w:t>33</w:t>
        </w:r>
        <w:r w:rsidR="00C85902">
          <w:rPr>
            <w:noProof/>
            <w:webHidden/>
          </w:rPr>
          <w:fldChar w:fldCharType="end"/>
        </w:r>
      </w:hyperlink>
    </w:p>
    <w:p w14:paraId="68F4E7A1" w14:textId="2651ECF7"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1" w:history="1">
        <w:r w:rsidR="00C85902" w:rsidRPr="00E26603">
          <w:rPr>
            <w:rStyle w:val="Hyperlink"/>
            <w:noProof/>
          </w:rPr>
          <w:t>Abbildung 4 Kulturschema der isolierten Harnleiterzellen</w:t>
        </w:r>
        <w:r w:rsidR="00C85902">
          <w:rPr>
            <w:noProof/>
            <w:webHidden/>
          </w:rPr>
          <w:tab/>
        </w:r>
        <w:r w:rsidR="00C85902">
          <w:rPr>
            <w:noProof/>
            <w:webHidden/>
          </w:rPr>
          <w:fldChar w:fldCharType="begin"/>
        </w:r>
        <w:r w:rsidR="00C85902">
          <w:rPr>
            <w:noProof/>
            <w:webHidden/>
          </w:rPr>
          <w:instrText xml:space="preserve"> PAGEREF _Toc120649881 \h </w:instrText>
        </w:r>
        <w:r w:rsidR="00C85902">
          <w:rPr>
            <w:noProof/>
            <w:webHidden/>
          </w:rPr>
        </w:r>
        <w:r w:rsidR="00C85902">
          <w:rPr>
            <w:noProof/>
            <w:webHidden/>
          </w:rPr>
          <w:fldChar w:fldCharType="separate"/>
        </w:r>
        <w:r w:rsidR="00791554">
          <w:rPr>
            <w:noProof/>
            <w:webHidden/>
          </w:rPr>
          <w:t>38</w:t>
        </w:r>
        <w:r w:rsidR="00C85902">
          <w:rPr>
            <w:noProof/>
            <w:webHidden/>
          </w:rPr>
          <w:fldChar w:fldCharType="end"/>
        </w:r>
      </w:hyperlink>
    </w:p>
    <w:p w14:paraId="1666E960" w14:textId="0346E525"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2" w:history="1">
        <w:r w:rsidR="00C85902" w:rsidRPr="00E26603">
          <w:rPr>
            <w:rStyle w:val="Hyperlink"/>
            <w:noProof/>
          </w:rPr>
          <w:t>Abbildung 5 Konzentrationen der Standards</w:t>
        </w:r>
        <w:r w:rsidR="00C85902">
          <w:rPr>
            <w:noProof/>
            <w:webHidden/>
          </w:rPr>
          <w:tab/>
        </w:r>
        <w:r w:rsidR="00C85902">
          <w:rPr>
            <w:noProof/>
            <w:webHidden/>
          </w:rPr>
          <w:fldChar w:fldCharType="begin"/>
        </w:r>
        <w:r w:rsidR="00C85902">
          <w:rPr>
            <w:noProof/>
            <w:webHidden/>
          </w:rPr>
          <w:instrText xml:space="preserve"> PAGEREF _Toc120649882 \h </w:instrText>
        </w:r>
        <w:r w:rsidR="00C85902">
          <w:rPr>
            <w:noProof/>
            <w:webHidden/>
          </w:rPr>
        </w:r>
        <w:r w:rsidR="00C85902">
          <w:rPr>
            <w:noProof/>
            <w:webHidden/>
          </w:rPr>
          <w:fldChar w:fldCharType="separate"/>
        </w:r>
        <w:r w:rsidR="00791554">
          <w:rPr>
            <w:noProof/>
            <w:webHidden/>
          </w:rPr>
          <w:t>46</w:t>
        </w:r>
        <w:r w:rsidR="00C85902">
          <w:rPr>
            <w:noProof/>
            <w:webHidden/>
          </w:rPr>
          <w:fldChar w:fldCharType="end"/>
        </w:r>
      </w:hyperlink>
    </w:p>
    <w:p w14:paraId="0513D235" w14:textId="6AD37B2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3" w:history="1">
        <w:r w:rsidR="00C85902" w:rsidRPr="00E26603">
          <w:rPr>
            <w:rStyle w:val="Hyperlink"/>
            <w:noProof/>
          </w:rPr>
          <w:t>Abbildung 6 Befüllungsschema 96-well Platte für die GlowMax Messung</w:t>
        </w:r>
        <w:r w:rsidR="00C85902">
          <w:rPr>
            <w:noProof/>
            <w:webHidden/>
          </w:rPr>
          <w:tab/>
        </w:r>
        <w:r w:rsidR="00C85902">
          <w:rPr>
            <w:noProof/>
            <w:webHidden/>
          </w:rPr>
          <w:fldChar w:fldCharType="begin"/>
        </w:r>
        <w:r w:rsidR="00C85902">
          <w:rPr>
            <w:noProof/>
            <w:webHidden/>
          </w:rPr>
          <w:instrText xml:space="preserve"> PAGEREF _Toc120649883 \h </w:instrText>
        </w:r>
        <w:r w:rsidR="00C85902">
          <w:rPr>
            <w:noProof/>
            <w:webHidden/>
          </w:rPr>
        </w:r>
        <w:r w:rsidR="00C85902">
          <w:rPr>
            <w:noProof/>
            <w:webHidden/>
          </w:rPr>
          <w:fldChar w:fldCharType="separate"/>
        </w:r>
        <w:r w:rsidR="00791554">
          <w:rPr>
            <w:noProof/>
            <w:webHidden/>
          </w:rPr>
          <w:t>47</w:t>
        </w:r>
        <w:r w:rsidR="00C85902">
          <w:rPr>
            <w:noProof/>
            <w:webHidden/>
          </w:rPr>
          <w:fldChar w:fldCharType="end"/>
        </w:r>
      </w:hyperlink>
    </w:p>
    <w:p w14:paraId="6473F5EC" w14:textId="6BEDACFB"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4" w:history="1">
        <w:r w:rsidR="00C85902" w:rsidRPr="00E26603">
          <w:rPr>
            <w:rStyle w:val="Hyperlink"/>
            <w:noProof/>
          </w:rPr>
          <w:t>Abbildung 7 Kalibrierung</w:t>
        </w:r>
        <w:r w:rsidR="00C85902">
          <w:rPr>
            <w:noProof/>
            <w:webHidden/>
          </w:rPr>
          <w:tab/>
        </w:r>
        <w:r w:rsidR="00C85902">
          <w:rPr>
            <w:noProof/>
            <w:webHidden/>
          </w:rPr>
          <w:fldChar w:fldCharType="begin"/>
        </w:r>
        <w:r w:rsidR="00C85902">
          <w:rPr>
            <w:noProof/>
            <w:webHidden/>
          </w:rPr>
          <w:instrText xml:space="preserve"> PAGEREF _Toc120649884 \h </w:instrText>
        </w:r>
        <w:r w:rsidR="00C85902">
          <w:rPr>
            <w:noProof/>
            <w:webHidden/>
          </w:rPr>
        </w:r>
        <w:r w:rsidR="00C85902">
          <w:rPr>
            <w:noProof/>
            <w:webHidden/>
          </w:rPr>
          <w:fldChar w:fldCharType="separate"/>
        </w:r>
        <w:r w:rsidR="00791554">
          <w:rPr>
            <w:noProof/>
            <w:webHidden/>
          </w:rPr>
          <w:t>48</w:t>
        </w:r>
        <w:r w:rsidR="00C85902">
          <w:rPr>
            <w:noProof/>
            <w:webHidden/>
          </w:rPr>
          <w:fldChar w:fldCharType="end"/>
        </w:r>
      </w:hyperlink>
    </w:p>
    <w:p w14:paraId="4FAE4131" w14:textId="04C19234"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5" w:history="1">
        <w:r w:rsidR="00C85902" w:rsidRPr="00E26603">
          <w:rPr>
            <w:rStyle w:val="Hyperlink"/>
            <w:noProof/>
          </w:rPr>
          <w:t xml:space="preserve">Abbildung 8 Ergebnis MycoSPY </w:t>
        </w:r>
        <w:r w:rsidR="00C85902" w:rsidRPr="00E26603">
          <w:rPr>
            <w:rStyle w:val="Hyperlink"/>
            <w:noProof/>
            <w:vertAlign w:val="superscript"/>
          </w:rPr>
          <w:t>®</w:t>
        </w:r>
        <w:r w:rsidR="00C85902">
          <w:rPr>
            <w:noProof/>
            <w:webHidden/>
          </w:rPr>
          <w:tab/>
        </w:r>
        <w:r w:rsidR="00C85902">
          <w:rPr>
            <w:noProof/>
            <w:webHidden/>
          </w:rPr>
          <w:fldChar w:fldCharType="begin"/>
        </w:r>
        <w:r w:rsidR="00C85902">
          <w:rPr>
            <w:noProof/>
            <w:webHidden/>
          </w:rPr>
          <w:instrText xml:space="preserve"> PAGEREF _Toc120649885 \h </w:instrText>
        </w:r>
        <w:r w:rsidR="00C85902">
          <w:rPr>
            <w:noProof/>
            <w:webHidden/>
          </w:rPr>
        </w:r>
        <w:r w:rsidR="00C85902">
          <w:rPr>
            <w:noProof/>
            <w:webHidden/>
          </w:rPr>
          <w:fldChar w:fldCharType="separate"/>
        </w:r>
        <w:r w:rsidR="00791554">
          <w:rPr>
            <w:noProof/>
            <w:webHidden/>
          </w:rPr>
          <w:t>62</w:t>
        </w:r>
        <w:r w:rsidR="00C85902">
          <w:rPr>
            <w:noProof/>
            <w:webHidden/>
          </w:rPr>
          <w:fldChar w:fldCharType="end"/>
        </w:r>
      </w:hyperlink>
    </w:p>
    <w:p w14:paraId="6B07C233" w14:textId="0D65829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6" w:history="1">
        <w:r w:rsidR="00C85902" w:rsidRPr="00E26603">
          <w:rPr>
            <w:rStyle w:val="Hyperlink"/>
            <w:noProof/>
          </w:rPr>
          <w:t>Abbildung 9 Cal29 Tag 1, 5 und 7 nach Passage</w:t>
        </w:r>
        <w:r w:rsidR="00C85902">
          <w:rPr>
            <w:noProof/>
            <w:webHidden/>
          </w:rPr>
          <w:tab/>
        </w:r>
        <w:r w:rsidR="00C85902">
          <w:rPr>
            <w:noProof/>
            <w:webHidden/>
          </w:rPr>
          <w:fldChar w:fldCharType="begin"/>
        </w:r>
        <w:r w:rsidR="00C85902">
          <w:rPr>
            <w:noProof/>
            <w:webHidden/>
          </w:rPr>
          <w:instrText xml:space="preserve"> PAGEREF _Toc120649886 \h </w:instrText>
        </w:r>
        <w:r w:rsidR="00C85902">
          <w:rPr>
            <w:noProof/>
            <w:webHidden/>
          </w:rPr>
        </w:r>
        <w:r w:rsidR="00C85902">
          <w:rPr>
            <w:noProof/>
            <w:webHidden/>
          </w:rPr>
          <w:fldChar w:fldCharType="separate"/>
        </w:r>
        <w:r w:rsidR="00791554">
          <w:rPr>
            <w:noProof/>
            <w:webHidden/>
          </w:rPr>
          <w:t>65</w:t>
        </w:r>
        <w:r w:rsidR="00C85902">
          <w:rPr>
            <w:noProof/>
            <w:webHidden/>
          </w:rPr>
          <w:fldChar w:fldCharType="end"/>
        </w:r>
      </w:hyperlink>
    </w:p>
    <w:p w14:paraId="23B210B8" w14:textId="1553E80A"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7" w:history="1">
        <w:r w:rsidR="00C85902" w:rsidRPr="00E26603">
          <w:rPr>
            <w:rStyle w:val="Hyperlink"/>
            <w:noProof/>
          </w:rPr>
          <w:t>Abbildung 10 T24 Tag 1, 5 und 7 nach Passage</w:t>
        </w:r>
        <w:r w:rsidR="00C85902">
          <w:rPr>
            <w:noProof/>
            <w:webHidden/>
          </w:rPr>
          <w:tab/>
        </w:r>
        <w:r w:rsidR="00C85902">
          <w:rPr>
            <w:noProof/>
            <w:webHidden/>
          </w:rPr>
          <w:fldChar w:fldCharType="begin"/>
        </w:r>
        <w:r w:rsidR="00C85902">
          <w:rPr>
            <w:noProof/>
            <w:webHidden/>
          </w:rPr>
          <w:instrText xml:space="preserve"> PAGEREF _Toc120649887 \h </w:instrText>
        </w:r>
        <w:r w:rsidR="00C85902">
          <w:rPr>
            <w:noProof/>
            <w:webHidden/>
          </w:rPr>
        </w:r>
        <w:r w:rsidR="00C85902">
          <w:rPr>
            <w:noProof/>
            <w:webHidden/>
          </w:rPr>
          <w:fldChar w:fldCharType="separate"/>
        </w:r>
        <w:r w:rsidR="00791554">
          <w:rPr>
            <w:noProof/>
            <w:webHidden/>
          </w:rPr>
          <w:t>66</w:t>
        </w:r>
        <w:r w:rsidR="00C85902">
          <w:rPr>
            <w:noProof/>
            <w:webHidden/>
          </w:rPr>
          <w:fldChar w:fldCharType="end"/>
        </w:r>
      </w:hyperlink>
    </w:p>
    <w:p w14:paraId="013835CB" w14:textId="53A1569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8" w:history="1">
        <w:r w:rsidR="00C85902" w:rsidRPr="00E26603">
          <w:rPr>
            <w:rStyle w:val="Hyperlink"/>
            <w:noProof/>
          </w:rPr>
          <w:t>Abbildung 11 HT1197 Tag 2, 5, 7 und 14 nach Passage</w:t>
        </w:r>
        <w:r w:rsidR="00C85902">
          <w:rPr>
            <w:noProof/>
            <w:webHidden/>
          </w:rPr>
          <w:tab/>
        </w:r>
        <w:r w:rsidR="00C85902">
          <w:rPr>
            <w:noProof/>
            <w:webHidden/>
          </w:rPr>
          <w:fldChar w:fldCharType="begin"/>
        </w:r>
        <w:r w:rsidR="00C85902">
          <w:rPr>
            <w:noProof/>
            <w:webHidden/>
          </w:rPr>
          <w:instrText xml:space="preserve"> PAGEREF _Toc120649888 \h </w:instrText>
        </w:r>
        <w:r w:rsidR="00C85902">
          <w:rPr>
            <w:noProof/>
            <w:webHidden/>
          </w:rPr>
        </w:r>
        <w:r w:rsidR="00C85902">
          <w:rPr>
            <w:noProof/>
            <w:webHidden/>
          </w:rPr>
          <w:fldChar w:fldCharType="separate"/>
        </w:r>
        <w:r w:rsidR="00791554">
          <w:rPr>
            <w:noProof/>
            <w:webHidden/>
          </w:rPr>
          <w:t>69</w:t>
        </w:r>
        <w:r w:rsidR="00C85902">
          <w:rPr>
            <w:noProof/>
            <w:webHidden/>
          </w:rPr>
          <w:fldChar w:fldCharType="end"/>
        </w:r>
      </w:hyperlink>
    </w:p>
    <w:p w14:paraId="64746324" w14:textId="31A96D45"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89" w:history="1">
        <w:r w:rsidR="00C85902" w:rsidRPr="00E26603">
          <w:rPr>
            <w:rStyle w:val="Hyperlink"/>
            <w:noProof/>
          </w:rPr>
          <w:t>Abbildung 12 HL20/31 mit und ohne Infektion mit Mykoplasmen an Tag 9, 14, 18 und 21 nach der Passage</w:t>
        </w:r>
        <w:r w:rsidR="00C85902">
          <w:rPr>
            <w:noProof/>
            <w:webHidden/>
          </w:rPr>
          <w:tab/>
        </w:r>
        <w:r w:rsidR="00C85902">
          <w:rPr>
            <w:noProof/>
            <w:webHidden/>
          </w:rPr>
          <w:fldChar w:fldCharType="begin"/>
        </w:r>
        <w:r w:rsidR="00C85902">
          <w:rPr>
            <w:noProof/>
            <w:webHidden/>
          </w:rPr>
          <w:instrText xml:space="preserve"> PAGEREF _Toc120649889 \h </w:instrText>
        </w:r>
        <w:r w:rsidR="00C85902">
          <w:rPr>
            <w:noProof/>
            <w:webHidden/>
          </w:rPr>
        </w:r>
        <w:r w:rsidR="00C85902">
          <w:rPr>
            <w:noProof/>
            <w:webHidden/>
          </w:rPr>
          <w:fldChar w:fldCharType="separate"/>
        </w:r>
        <w:r w:rsidR="00791554">
          <w:rPr>
            <w:noProof/>
            <w:webHidden/>
          </w:rPr>
          <w:t>71</w:t>
        </w:r>
        <w:r w:rsidR="00C85902">
          <w:rPr>
            <w:noProof/>
            <w:webHidden/>
          </w:rPr>
          <w:fldChar w:fldCharType="end"/>
        </w:r>
      </w:hyperlink>
    </w:p>
    <w:p w14:paraId="600C5756" w14:textId="4630C98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0" w:history="1">
        <w:r w:rsidR="00C85902" w:rsidRPr="00E26603">
          <w:rPr>
            <w:rStyle w:val="Hyperlink"/>
            <w:noProof/>
          </w:rPr>
          <w:t>Abbildung 13 HL20/32 mit und ohne Infektion mit Mykoplasmen an Tag 9, 14, 18 und 21 nach der Passage</w:t>
        </w:r>
        <w:r w:rsidR="00C85902">
          <w:rPr>
            <w:noProof/>
            <w:webHidden/>
          </w:rPr>
          <w:tab/>
        </w:r>
        <w:r w:rsidR="00C85902">
          <w:rPr>
            <w:noProof/>
            <w:webHidden/>
          </w:rPr>
          <w:fldChar w:fldCharType="begin"/>
        </w:r>
        <w:r w:rsidR="00C85902">
          <w:rPr>
            <w:noProof/>
            <w:webHidden/>
          </w:rPr>
          <w:instrText xml:space="preserve"> PAGEREF _Toc120649890 \h </w:instrText>
        </w:r>
        <w:r w:rsidR="00C85902">
          <w:rPr>
            <w:noProof/>
            <w:webHidden/>
          </w:rPr>
        </w:r>
        <w:r w:rsidR="00C85902">
          <w:rPr>
            <w:noProof/>
            <w:webHidden/>
          </w:rPr>
          <w:fldChar w:fldCharType="separate"/>
        </w:r>
        <w:r w:rsidR="00791554">
          <w:rPr>
            <w:noProof/>
            <w:webHidden/>
          </w:rPr>
          <w:t>72</w:t>
        </w:r>
        <w:r w:rsidR="00C85902">
          <w:rPr>
            <w:noProof/>
            <w:webHidden/>
          </w:rPr>
          <w:fldChar w:fldCharType="end"/>
        </w:r>
      </w:hyperlink>
    </w:p>
    <w:p w14:paraId="547F5BD4" w14:textId="5DEAA422"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1" w:history="1">
        <w:r w:rsidR="00C85902" w:rsidRPr="00E26603">
          <w:rPr>
            <w:rStyle w:val="Hyperlink"/>
            <w:noProof/>
          </w:rPr>
          <w:t>Abbildung 14 CD276 mRNA Expression in Cal29 Zellen</w:t>
        </w:r>
        <w:r w:rsidR="00C85902">
          <w:rPr>
            <w:noProof/>
            <w:webHidden/>
          </w:rPr>
          <w:tab/>
        </w:r>
        <w:r w:rsidR="00C85902">
          <w:rPr>
            <w:noProof/>
            <w:webHidden/>
          </w:rPr>
          <w:fldChar w:fldCharType="begin"/>
        </w:r>
        <w:r w:rsidR="00C85902">
          <w:rPr>
            <w:noProof/>
            <w:webHidden/>
          </w:rPr>
          <w:instrText xml:space="preserve"> PAGEREF _Toc120649891 \h </w:instrText>
        </w:r>
        <w:r w:rsidR="00C85902">
          <w:rPr>
            <w:noProof/>
            <w:webHidden/>
          </w:rPr>
        </w:r>
        <w:r w:rsidR="00C85902">
          <w:rPr>
            <w:noProof/>
            <w:webHidden/>
          </w:rPr>
          <w:fldChar w:fldCharType="separate"/>
        </w:r>
        <w:r w:rsidR="00791554">
          <w:rPr>
            <w:noProof/>
            <w:webHidden/>
          </w:rPr>
          <w:t>74</w:t>
        </w:r>
        <w:r w:rsidR="00C85902">
          <w:rPr>
            <w:noProof/>
            <w:webHidden/>
          </w:rPr>
          <w:fldChar w:fldCharType="end"/>
        </w:r>
      </w:hyperlink>
    </w:p>
    <w:p w14:paraId="34F2A8D6" w14:textId="72BC2A77"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2" w:history="1">
        <w:r w:rsidR="00C85902" w:rsidRPr="00E26603">
          <w:rPr>
            <w:rStyle w:val="Hyperlink"/>
            <w:noProof/>
          </w:rPr>
          <w:t>Abbildung 15 CD276 mRNA Expression in T24 Zellen</w:t>
        </w:r>
        <w:r w:rsidR="00C85902">
          <w:rPr>
            <w:noProof/>
            <w:webHidden/>
          </w:rPr>
          <w:tab/>
        </w:r>
        <w:r w:rsidR="00C85902">
          <w:rPr>
            <w:noProof/>
            <w:webHidden/>
          </w:rPr>
          <w:fldChar w:fldCharType="begin"/>
        </w:r>
        <w:r w:rsidR="00C85902">
          <w:rPr>
            <w:noProof/>
            <w:webHidden/>
          </w:rPr>
          <w:instrText xml:space="preserve"> PAGEREF _Toc120649892 \h </w:instrText>
        </w:r>
        <w:r w:rsidR="00C85902">
          <w:rPr>
            <w:noProof/>
            <w:webHidden/>
          </w:rPr>
        </w:r>
        <w:r w:rsidR="00C85902">
          <w:rPr>
            <w:noProof/>
            <w:webHidden/>
          </w:rPr>
          <w:fldChar w:fldCharType="separate"/>
        </w:r>
        <w:r w:rsidR="00791554">
          <w:rPr>
            <w:noProof/>
            <w:webHidden/>
          </w:rPr>
          <w:t>75</w:t>
        </w:r>
        <w:r w:rsidR="00C85902">
          <w:rPr>
            <w:noProof/>
            <w:webHidden/>
          </w:rPr>
          <w:fldChar w:fldCharType="end"/>
        </w:r>
      </w:hyperlink>
    </w:p>
    <w:p w14:paraId="5C43E4E5" w14:textId="5D692931"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3" w:history="1">
        <w:r w:rsidR="00C85902" w:rsidRPr="00E26603">
          <w:rPr>
            <w:rStyle w:val="Hyperlink"/>
            <w:noProof/>
          </w:rPr>
          <w:t>Abbildung 16 CD276 mRNA Expression bei HT1197</w:t>
        </w:r>
        <w:r w:rsidR="00C85902">
          <w:rPr>
            <w:noProof/>
            <w:webHidden/>
          </w:rPr>
          <w:tab/>
        </w:r>
        <w:r w:rsidR="00C85902">
          <w:rPr>
            <w:noProof/>
            <w:webHidden/>
          </w:rPr>
          <w:fldChar w:fldCharType="begin"/>
        </w:r>
        <w:r w:rsidR="00C85902">
          <w:rPr>
            <w:noProof/>
            <w:webHidden/>
          </w:rPr>
          <w:instrText xml:space="preserve"> PAGEREF _Toc120649893 \h </w:instrText>
        </w:r>
        <w:r w:rsidR="00C85902">
          <w:rPr>
            <w:noProof/>
            <w:webHidden/>
          </w:rPr>
        </w:r>
        <w:r w:rsidR="00C85902">
          <w:rPr>
            <w:noProof/>
            <w:webHidden/>
          </w:rPr>
          <w:fldChar w:fldCharType="separate"/>
        </w:r>
        <w:r w:rsidR="00791554">
          <w:rPr>
            <w:noProof/>
            <w:webHidden/>
          </w:rPr>
          <w:t>76</w:t>
        </w:r>
        <w:r w:rsidR="00C85902">
          <w:rPr>
            <w:noProof/>
            <w:webHidden/>
          </w:rPr>
          <w:fldChar w:fldCharType="end"/>
        </w:r>
      </w:hyperlink>
    </w:p>
    <w:p w14:paraId="33B10626" w14:textId="079689B4"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4" w:history="1">
        <w:r w:rsidR="00C85902" w:rsidRPr="00E26603">
          <w:rPr>
            <w:rStyle w:val="Hyperlink"/>
            <w:noProof/>
          </w:rPr>
          <w:t>Abbildung 17 Mittelwert der CD276 mRNA Expression in HT1197 Zellen mit und ohne Mykoplasmen Infektion</w:t>
        </w:r>
        <w:r w:rsidR="00C85902">
          <w:rPr>
            <w:noProof/>
            <w:webHidden/>
          </w:rPr>
          <w:tab/>
        </w:r>
        <w:r w:rsidR="00C85902">
          <w:rPr>
            <w:noProof/>
            <w:webHidden/>
          </w:rPr>
          <w:fldChar w:fldCharType="begin"/>
        </w:r>
        <w:r w:rsidR="00C85902">
          <w:rPr>
            <w:noProof/>
            <w:webHidden/>
          </w:rPr>
          <w:instrText xml:space="preserve"> PAGEREF _Toc120649894 \h </w:instrText>
        </w:r>
        <w:r w:rsidR="00C85902">
          <w:rPr>
            <w:noProof/>
            <w:webHidden/>
          </w:rPr>
        </w:r>
        <w:r w:rsidR="00C85902">
          <w:rPr>
            <w:noProof/>
            <w:webHidden/>
          </w:rPr>
          <w:fldChar w:fldCharType="separate"/>
        </w:r>
        <w:r w:rsidR="00791554">
          <w:rPr>
            <w:noProof/>
            <w:webHidden/>
          </w:rPr>
          <w:t>77</w:t>
        </w:r>
        <w:r w:rsidR="00C85902">
          <w:rPr>
            <w:noProof/>
            <w:webHidden/>
          </w:rPr>
          <w:fldChar w:fldCharType="end"/>
        </w:r>
      </w:hyperlink>
    </w:p>
    <w:p w14:paraId="2945BB4B" w14:textId="2C873709"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5" w:history="1">
        <w:r w:rsidR="00C85902" w:rsidRPr="00E26603">
          <w:rPr>
            <w:rStyle w:val="Hyperlink"/>
            <w:noProof/>
          </w:rPr>
          <w:t>Abbildung 18 CD276 mRNA Expression in HL 20/31 Zellen</w:t>
        </w:r>
        <w:r w:rsidR="00C85902">
          <w:rPr>
            <w:noProof/>
            <w:webHidden/>
          </w:rPr>
          <w:tab/>
        </w:r>
        <w:r w:rsidR="00C85902">
          <w:rPr>
            <w:noProof/>
            <w:webHidden/>
          </w:rPr>
          <w:fldChar w:fldCharType="begin"/>
        </w:r>
        <w:r w:rsidR="00C85902">
          <w:rPr>
            <w:noProof/>
            <w:webHidden/>
          </w:rPr>
          <w:instrText xml:space="preserve"> PAGEREF _Toc120649895 \h </w:instrText>
        </w:r>
        <w:r w:rsidR="00C85902">
          <w:rPr>
            <w:noProof/>
            <w:webHidden/>
          </w:rPr>
        </w:r>
        <w:r w:rsidR="00C85902">
          <w:rPr>
            <w:noProof/>
            <w:webHidden/>
          </w:rPr>
          <w:fldChar w:fldCharType="separate"/>
        </w:r>
        <w:r w:rsidR="00791554">
          <w:rPr>
            <w:noProof/>
            <w:webHidden/>
          </w:rPr>
          <w:t>78</w:t>
        </w:r>
        <w:r w:rsidR="00C85902">
          <w:rPr>
            <w:noProof/>
            <w:webHidden/>
          </w:rPr>
          <w:fldChar w:fldCharType="end"/>
        </w:r>
      </w:hyperlink>
    </w:p>
    <w:p w14:paraId="732EFDC4" w14:textId="5C51A833"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6" w:history="1">
        <w:r w:rsidR="00C85902" w:rsidRPr="00E26603">
          <w:rPr>
            <w:rStyle w:val="Hyperlink"/>
            <w:noProof/>
          </w:rPr>
          <w:t>Abbildung 19 CD276 mRNA Expression in HL 20/32 Zellen</w:t>
        </w:r>
        <w:r w:rsidR="00C85902">
          <w:rPr>
            <w:noProof/>
            <w:webHidden/>
          </w:rPr>
          <w:tab/>
        </w:r>
        <w:r w:rsidR="00C85902">
          <w:rPr>
            <w:noProof/>
            <w:webHidden/>
          </w:rPr>
          <w:fldChar w:fldCharType="begin"/>
        </w:r>
        <w:r w:rsidR="00C85902">
          <w:rPr>
            <w:noProof/>
            <w:webHidden/>
          </w:rPr>
          <w:instrText xml:space="preserve"> PAGEREF _Toc120649896 \h </w:instrText>
        </w:r>
        <w:r w:rsidR="00C85902">
          <w:rPr>
            <w:noProof/>
            <w:webHidden/>
          </w:rPr>
        </w:r>
        <w:r w:rsidR="00C85902">
          <w:rPr>
            <w:noProof/>
            <w:webHidden/>
          </w:rPr>
          <w:fldChar w:fldCharType="separate"/>
        </w:r>
        <w:r w:rsidR="00791554">
          <w:rPr>
            <w:noProof/>
            <w:webHidden/>
          </w:rPr>
          <w:t>79</w:t>
        </w:r>
        <w:r w:rsidR="00C85902">
          <w:rPr>
            <w:noProof/>
            <w:webHidden/>
          </w:rPr>
          <w:fldChar w:fldCharType="end"/>
        </w:r>
      </w:hyperlink>
    </w:p>
    <w:p w14:paraId="6CCA3A04" w14:textId="18E43BA5"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7" w:history="1">
        <w:r w:rsidR="00C85902" w:rsidRPr="00E26603">
          <w:rPr>
            <w:rStyle w:val="Hyperlink"/>
            <w:noProof/>
          </w:rPr>
          <w:t>Abbildung 20 Ergebnisse CD276 und ß-Aktin Antikörper Färbung Western Blot für Cal29 und T24</w:t>
        </w:r>
        <w:r w:rsidR="00C85902">
          <w:rPr>
            <w:noProof/>
            <w:webHidden/>
          </w:rPr>
          <w:tab/>
        </w:r>
        <w:r w:rsidR="00C85902">
          <w:rPr>
            <w:noProof/>
            <w:webHidden/>
          </w:rPr>
          <w:fldChar w:fldCharType="begin"/>
        </w:r>
        <w:r w:rsidR="00C85902">
          <w:rPr>
            <w:noProof/>
            <w:webHidden/>
          </w:rPr>
          <w:instrText xml:space="preserve"> PAGEREF _Toc120649897 \h </w:instrText>
        </w:r>
        <w:r w:rsidR="00C85902">
          <w:rPr>
            <w:noProof/>
            <w:webHidden/>
          </w:rPr>
        </w:r>
        <w:r w:rsidR="00C85902">
          <w:rPr>
            <w:noProof/>
            <w:webHidden/>
          </w:rPr>
          <w:fldChar w:fldCharType="separate"/>
        </w:r>
        <w:r w:rsidR="00791554">
          <w:rPr>
            <w:noProof/>
            <w:webHidden/>
          </w:rPr>
          <w:t>80</w:t>
        </w:r>
        <w:r w:rsidR="00C85902">
          <w:rPr>
            <w:noProof/>
            <w:webHidden/>
          </w:rPr>
          <w:fldChar w:fldCharType="end"/>
        </w:r>
      </w:hyperlink>
    </w:p>
    <w:p w14:paraId="2520A85C" w14:textId="149F3251"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8" w:history="1">
        <w:r w:rsidR="00C85902" w:rsidRPr="00E26603">
          <w:rPr>
            <w:rStyle w:val="Hyperlink"/>
            <w:noProof/>
          </w:rPr>
          <w:t>Abbildung 21 Genormter Messbereich der CD276 und ß-Aktin Banden bei Cal29 und T24</w:t>
        </w:r>
        <w:r w:rsidR="00C85902">
          <w:rPr>
            <w:noProof/>
            <w:webHidden/>
          </w:rPr>
          <w:tab/>
        </w:r>
        <w:r w:rsidR="00C85902">
          <w:rPr>
            <w:noProof/>
            <w:webHidden/>
          </w:rPr>
          <w:fldChar w:fldCharType="begin"/>
        </w:r>
        <w:r w:rsidR="00C85902">
          <w:rPr>
            <w:noProof/>
            <w:webHidden/>
          </w:rPr>
          <w:instrText xml:space="preserve"> PAGEREF _Toc120649898 \h </w:instrText>
        </w:r>
        <w:r w:rsidR="00C85902">
          <w:rPr>
            <w:noProof/>
            <w:webHidden/>
          </w:rPr>
        </w:r>
        <w:r w:rsidR="00C85902">
          <w:rPr>
            <w:noProof/>
            <w:webHidden/>
          </w:rPr>
          <w:fldChar w:fldCharType="separate"/>
        </w:r>
        <w:r w:rsidR="00791554">
          <w:rPr>
            <w:noProof/>
            <w:webHidden/>
          </w:rPr>
          <w:t>81</w:t>
        </w:r>
        <w:r w:rsidR="00C85902">
          <w:rPr>
            <w:noProof/>
            <w:webHidden/>
          </w:rPr>
          <w:fldChar w:fldCharType="end"/>
        </w:r>
      </w:hyperlink>
    </w:p>
    <w:p w14:paraId="70E7A377" w14:textId="28859F3D"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899" w:history="1">
        <w:r w:rsidR="00C85902" w:rsidRPr="00E26603">
          <w:rPr>
            <w:rStyle w:val="Hyperlink"/>
            <w:noProof/>
          </w:rPr>
          <w:t>Abbildung 22 Western Blot HT1197 und HL 20/31</w:t>
        </w:r>
        <w:r w:rsidR="00C85902">
          <w:rPr>
            <w:noProof/>
            <w:webHidden/>
          </w:rPr>
          <w:tab/>
        </w:r>
        <w:r w:rsidR="00C85902">
          <w:rPr>
            <w:noProof/>
            <w:webHidden/>
          </w:rPr>
          <w:fldChar w:fldCharType="begin"/>
        </w:r>
        <w:r w:rsidR="00C85902">
          <w:rPr>
            <w:noProof/>
            <w:webHidden/>
          </w:rPr>
          <w:instrText xml:space="preserve"> PAGEREF _Toc120649899 \h </w:instrText>
        </w:r>
        <w:r w:rsidR="00C85902">
          <w:rPr>
            <w:noProof/>
            <w:webHidden/>
          </w:rPr>
        </w:r>
        <w:r w:rsidR="00C85902">
          <w:rPr>
            <w:noProof/>
            <w:webHidden/>
          </w:rPr>
          <w:fldChar w:fldCharType="separate"/>
        </w:r>
        <w:r w:rsidR="00791554">
          <w:rPr>
            <w:noProof/>
            <w:webHidden/>
          </w:rPr>
          <w:t>82</w:t>
        </w:r>
        <w:r w:rsidR="00C85902">
          <w:rPr>
            <w:noProof/>
            <w:webHidden/>
          </w:rPr>
          <w:fldChar w:fldCharType="end"/>
        </w:r>
      </w:hyperlink>
    </w:p>
    <w:p w14:paraId="01770877" w14:textId="4DF6CF94"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900" w:history="1">
        <w:r w:rsidR="00C85902" w:rsidRPr="00E26603">
          <w:rPr>
            <w:rStyle w:val="Hyperlink"/>
            <w:noProof/>
          </w:rPr>
          <w:t>Abbildung 23 genormter Messbereich der CD276 und ß-Aktin Banden bei HT1197 und HL 20/31</w:t>
        </w:r>
        <w:r w:rsidR="00C85902">
          <w:rPr>
            <w:noProof/>
            <w:webHidden/>
          </w:rPr>
          <w:tab/>
        </w:r>
        <w:r w:rsidR="00C85902">
          <w:rPr>
            <w:noProof/>
            <w:webHidden/>
          </w:rPr>
          <w:fldChar w:fldCharType="begin"/>
        </w:r>
        <w:r w:rsidR="00C85902">
          <w:rPr>
            <w:noProof/>
            <w:webHidden/>
          </w:rPr>
          <w:instrText xml:space="preserve"> PAGEREF _Toc120649900 \h </w:instrText>
        </w:r>
        <w:r w:rsidR="00C85902">
          <w:rPr>
            <w:noProof/>
            <w:webHidden/>
          </w:rPr>
        </w:r>
        <w:r w:rsidR="00C85902">
          <w:rPr>
            <w:noProof/>
            <w:webHidden/>
          </w:rPr>
          <w:fldChar w:fldCharType="separate"/>
        </w:r>
        <w:r w:rsidR="00791554">
          <w:rPr>
            <w:noProof/>
            <w:webHidden/>
          </w:rPr>
          <w:t>82</w:t>
        </w:r>
        <w:r w:rsidR="00C85902">
          <w:rPr>
            <w:noProof/>
            <w:webHidden/>
          </w:rPr>
          <w:fldChar w:fldCharType="end"/>
        </w:r>
      </w:hyperlink>
    </w:p>
    <w:p w14:paraId="4E8C7700" w14:textId="0704CF2F"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901" w:history="1">
        <w:r w:rsidR="00C85902" w:rsidRPr="00E26603">
          <w:rPr>
            <w:rStyle w:val="Hyperlink"/>
            <w:noProof/>
          </w:rPr>
          <w:t>Abbildung 24 Grafik des Verhältnisses der CD276 Protein und ß-Aktin Expression im Western Blot</w:t>
        </w:r>
        <w:r w:rsidR="00C85902">
          <w:rPr>
            <w:noProof/>
            <w:webHidden/>
          </w:rPr>
          <w:tab/>
        </w:r>
        <w:r w:rsidR="00C85902">
          <w:rPr>
            <w:noProof/>
            <w:webHidden/>
          </w:rPr>
          <w:fldChar w:fldCharType="begin"/>
        </w:r>
        <w:r w:rsidR="00C85902">
          <w:rPr>
            <w:noProof/>
            <w:webHidden/>
          </w:rPr>
          <w:instrText xml:space="preserve"> PAGEREF _Toc120649901 \h </w:instrText>
        </w:r>
        <w:r w:rsidR="00C85902">
          <w:rPr>
            <w:noProof/>
            <w:webHidden/>
          </w:rPr>
        </w:r>
        <w:r w:rsidR="00C85902">
          <w:rPr>
            <w:noProof/>
            <w:webHidden/>
          </w:rPr>
          <w:fldChar w:fldCharType="separate"/>
        </w:r>
        <w:r w:rsidR="00791554">
          <w:rPr>
            <w:noProof/>
            <w:webHidden/>
          </w:rPr>
          <w:t>84</w:t>
        </w:r>
        <w:r w:rsidR="00C85902">
          <w:rPr>
            <w:noProof/>
            <w:webHidden/>
          </w:rPr>
          <w:fldChar w:fldCharType="end"/>
        </w:r>
      </w:hyperlink>
    </w:p>
    <w:p w14:paraId="7DBE168F" w14:textId="61B0CDA8"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902" w:history="1">
        <w:r w:rsidR="00C85902" w:rsidRPr="00E26603">
          <w:rPr>
            <w:rStyle w:val="Hyperlink"/>
            <w:noProof/>
          </w:rPr>
          <w:t>Abbildung 25 Übersicht der Durchflusszytometrie Ergebnisse der Zelllinien Cal29, T24 und HT1197.</w:t>
        </w:r>
        <w:r w:rsidR="00C85902">
          <w:rPr>
            <w:noProof/>
            <w:webHidden/>
          </w:rPr>
          <w:tab/>
        </w:r>
        <w:r w:rsidR="00C85902">
          <w:rPr>
            <w:noProof/>
            <w:webHidden/>
          </w:rPr>
          <w:fldChar w:fldCharType="begin"/>
        </w:r>
        <w:r w:rsidR="00C85902">
          <w:rPr>
            <w:noProof/>
            <w:webHidden/>
          </w:rPr>
          <w:instrText xml:space="preserve"> PAGEREF _Toc120649902 \h </w:instrText>
        </w:r>
        <w:r w:rsidR="00C85902">
          <w:rPr>
            <w:noProof/>
            <w:webHidden/>
          </w:rPr>
        </w:r>
        <w:r w:rsidR="00C85902">
          <w:rPr>
            <w:noProof/>
            <w:webHidden/>
          </w:rPr>
          <w:fldChar w:fldCharType="separate"/>
        </w:r>
        <w:r w:rsidR="00791554">
          <w:rPr>
            <w:noProof/>
            <w:webHidden/>
          </w:rPr>
          <w:t>87</w:t>
        </w:r>
        <w:r w:rsidR="00C85902">
          <w:rPr>
            <w:noProof/>
            <w:webHidden/>
          </w:rPr>
          <w:fldChar w:fldCharType="end"/>
        </w:r>
      </w:hyperlink>
    </w:p>
    <w:p w14:paraId="00747645" w14:textId="4FE347F2" w:rsidR="00C85902" w:rsidRDefault="00000000">
      <w:pPr>
        <w:pStyle w:val="Abbildungsverzeichnis"/>
        <w:tabs>
          <w:tab w:val="right" w:leader="dot" w:pos="8494"/>
        </w:tabs>
        <w:rPr>
          <w:rFonts w:asciiTheme="minorHAnsi" w:eastAsiaTheme="minorEastAsia" w:hAnsiTheme="minorHAnsi"/>
          <w:noProof/>
          <w:sz w:val="22"/>
          <w:lang w:eastAsia="de-DE"/>
        </w:rPr>
      </w:pPr>
      <w:hyperlink w:anchor="_Toc120649903" w:history="1">
        <w:r w:rsidR="00C85902" w:rsidRPr="00E26603">
          <w:rPr>
            <w:rStyle w:val="Hyperlink"/>
            <w:noProof/>
          </w:rPr>
          <w:t>Abbildung 26 Mittelwerte der CD276 Oberflächen Protein Expression in der Durchflusszytometrie</w:t>
        </w:r>
        <w:r w:rsidR="00C85902">
          <w:rPr>
            <w:noProof/>
            <w:webHidden/>
          </w:rPr>
          <w:tab/>
        </w:r>
        <w:r w:rsidR="00C85902">
          <w:rPr>
            <w:noProof/>
            <w:webHidden/>
          </w:rPr>
          <w:fldChar w:fldCharType="begin"/>
        </w:r>
        <w:r w:rsidR="00C85902">
          <w:rPr>
            <w:noProof/>
            <w:webHidden/>
          </w:rPr>
          <w:instrText xml:space="preserve"> PAGEREF _Toc120649903 \h </w:instrText>
        </w:r>
        <w:r w:rsidR="00C85902">
          <w:rPr>
            <w:noProof/>
            <w:webHidden/>
          </w:rPr>
        </w:r>
        <w:r w:rsidR="00C85902">
          <w:rPr>
            <w:noProof/>
            <w:webHidden/>
          </w:rPr>
          <w:fldChar w:fldCharType="separate"/>
        </w:r>
        <w:r w:rsidR="00791554">
          <w:rPr>
            <w:noProof/>
            <w:webHidden/>
          </w:rPr>
          <w:t>86</w:t>
        </w:r>
        <w:r w:rsidR="00C85902">
          <w:rPr>
            <w:noProof/>
            <w:webHidden/>
          </w:rPr>
          <w:fldChar w:fldCharType="end"/>
        </w:r>
      </w:hyperlink>
    </w:p>
    <w:p w14:paraId="0EE9F489" w14:textId="77777777" w:rsidR="00C85902" w:rsidRDefault="00C85902" w:rsidP="00582C59">
      <w:r>
        <w:fldChar w:fldCharType="end"/>
      </w:r>
    </w:p>
    <w:p w14:paraId="4056D97A" w14:textId="77777777" w:rsidR="00C85902" w:rsidRDefault="00C85902">
      <w:pPr>
        <w:spacing w:line="259" w:lineRule="auto"/>
      </w:pPr>
      <w:r>
        <w:br w:type="page"/>
      </w:r>
    </w:p>
    <w:p w14:paraId="5EE1FB04" w14:textId="77777777" w:rsidR="00C85902" w:rsidRPr="00582C59" w:rsidRDefault="00C85902" w:rsidP="00582C59"/>
    <w:p w14:paraId="1E67BAF2" w14:textId="77777777" w:rsidR="00C85902" w:rsidRPr="00383E33" w:rsidRDefault="00C85902" w:rsidP="00383E33">
      <w:pPr>
        <w:pStyle w:val="berschrift1"/>
        <w:numPr>
          <w:ilvl w:val="0"/>
          <w:numId w:val="0"/>
        </w:numPr>
      </w:pPr>
      <w:bookmarkStart w:id="1" w:name="_Toc121158634"/>
      <w:r w:rsidRPr="00383E33">
        <w:t>Abkürzungsverzeichnis</w:t>
      </w:r>
      <w:bookmarkEnd w:id="1"/>
    </w:p>
    <w:tbl>
      <w:tblPr>
        <w:tblStyle w:val="EinfacheTabelle1"/>
        <w:tblW w:w="0" w:type="auto"/>
        <w:tblLook w:val="04A0" w:firstRow="1" w:lastRow="0" w:firstColumn="1" w:lastColumn="0" w:noHBand="0" w:noVBand="1"/>
      </w:tblPr>
      <w:tblGrid>
        <w:gridCol w:w="1359"/>
        <w:gridCol w:w="7135"/>
      </w:tblGrid>
      <w:tr w:rsidR="00C85902" w:rsidRPr="00BC7E14" w14:paraId="69E211C6" w14:textId="77777777" w:rsidTr="00E02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C7B9E60" w14:textId="77777777" w:rsidR="00C85902" w:rsidRPr="00811624" w:rsidRDefault="00C85902" w:rsidP="00FA06F3">
            <w:pPr>
              <w:spacing w:line="240" w:lineRule="auto"/>
              <w:rPr>
                <w:rFonts w:cs="Arial"/>
                <w:color w:val="000000"/>
                <w:sz w:val="20"/>
              </w:rPr>
            </w:pPr>
            <w:r w:rsidRPr="00811624">
              <w:rPr>
                <w:rFonts w:cs="Arial"/>
                <w:color w:val="000000"/>
                <w:sz w:val="20"/>
              </w:rPr>
              <w:t>Abkürzung</w:t>
            </w:r>
          </w:p>
        </w:tc>
        <w:tc>
          <w:tcPr>
            <w:tcW w:w="7355" w:type="dxa"/>
          </w:tcPr>
          <w:p w14:paraId="7D776EC9" w14:textId="77777777" w:rsidR="00C85902" w:rsidRPr="00FA06F3" w:rsidRDefault="00C85902" w:rsidP="00FA06F3">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0"/>
              </w:rPr>
            </w:pPr>
            <w:r w:rsidRPr="00FA06F3">
              <w:rPr>
                <w:rFonts w:cs="Arial"/>
                <w:color w:val="000000"/>
                <w:sz w:val="20"/>
              </w:rPr>
              <w:t>Erläuterung</w:t>
            </w:r>
          </w:p>
        </w:tc>
      </w:tr>
      <w:tr w:rsidR="00C85902" w:rsidRPr="00BC7E14" w14:paraId="08B72E48"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0D0C368"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 xml:space="preserve">APC </w:t>
            </w:r>
          </w:p>
        </w:tc>
        <w:tc>
          <w:tcPr>
            <w:tcW w:w="7355" w:type="dxa"/>
          </w:tcPr>
          <w:p w14:paraId="03E52488"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rFonts w:cs="Arial"/>
                <w:color w:val="000000"/>
                <w:sz w:val="20"/>
              </w:rPr>
              <w:t>Antigen präsentierende Zellen</w:t>
            </w:r>
          </w:p>
        </w:tc>
      </w:tr>
      <w:tr w:rsidR="00C85902" w:rsidRPr="00BC7E14" w14:paraId="516E26B0"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76772E75"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APS</w:t>
            </w:r>
          </w:p>
        </w:tc>
        <w:tc>
          <w:tcPr>
            <w:tcW w:w="7355" w:type="dxa"/>
          </w:tcPr>
          <w:p w14:paraId="553E4872"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Ammonium Persulfat</w:t>
            </w:r>
          </w:p>
        </w:tc>
      </w:tr>
      <w:tr w:rsidR="00C85902" w:rsidRPr="00BC7E14" w14:paraId="4D7A01A4"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9CF0FA6"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BCG</w:t>
            </w:r>
          </w:p>
        </w:tc>
        <w:tc>
          <w:tcPr>
            <w:tcW w:w="7355" w:type="dxa"/>
          </w:tcPr>
          <w:p w14:paraId="67980162"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sz w:val="20"/>
              </w:rPr>
            </w:pPr>
            <w:r w:rsidRPr="00FA06F3">
              <w:rPr>
                <w:sz w:val="20"/>
              </w:rPr>
              <w:t>Bacille-Calmette-Guerin</w:t>
            </w:r>
          </w:p>
        </w:tc>
      </w:tr>
      <w:tr w:rsidR="00C85902" w:rsidRPr="00BC7E14" w14:paraId="7DEFBD68"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5C9DBFC7" w14:textId="77777777" w:rsidR="00C85902" w:rsidRPr="00811624" w:rsidRDefault="00C85902" w:rsidP="00FA06F3">
            <w:pPr>
              <w:spacing w:line="240" w:lineRule="auto"/>
              <w:rPr>
                <w:b w:val="0"/>
                <w:bCs w:val="0"/>
                <w:sz w:val="20"/>
              </w:rPr>
            </w:pPr>
            <w:r>
              <w:rPr>
                <w:b w:val="0"/>
                <w:bCs w:val="0"/>
                <w:sz w:val="20"/>
              </w:rPr>
              <w:t>b</w:t>
            </w:r>
            <w:r w:rsidRPr="00811624">
              <w:rPr>
                <w:b w:val="0"/>
                <w:bCs w:val="0"/>
                <w:sz w:val="20"/>
              </w:rPr>
              <w:t>zw.</w:t>
            </w:r>
          </w:p>
        </w:tc>
        <w:tc>
          <w:tcPr>
            <w:tcW w:w="7355" w:type="dxa"/>
          </w:tcPr>
          <w:p w14:paraId="2AD30EE9"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sz w:val="20"/>
              </w:rPr>
              <w:t>b</w:t>
            </w:r>
            <w:r w:rsidRPr="00FA06F3">
              <w:rPr>
                <w:sz w:val="20"/>
              </w:rPr>
              <w:t>eziehungsweise</w:t>
            </w:r>
          </w:p>
        </w:tc>
      </w:tr>
      <w:tr w:rsidR="00C85902" w:rsidRPr="00BC7E14" w14:paraId="131D912B"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1424AE5" w14:textId="77777777" w:rsidR="00C85902" w:rsidRPr="00811624" w:rsidRDefault="00C85902" w:rsidP="00FA06F3">
            <w:pPr>
              <w:spacing w:line="240" w:lineRule="auto"/>
              <w:rPr>
                <w:b w:val="0"/>
                <w:bCs w:val="0"/>
                <w:sz w:val="20"/>
              </w:rPr>
            </w:pPr>
            <w:r w:rsidRPr="00811624">
              <w:rPr>
                <w:b w:val="0"/>
                <w:bCs w:val="0"/>
                <w:sz w:val="20"/>
              </w:rPr>
              <w:t xml:space="preserve">ca. </w:t>
            </w:r>
          </w:p>
        </w:tc>
        <w:tc>
          <w:tcPr>
            <w:tcW w:w="7355" w:type="dxa"/>
          </w:tcPr>
          <w:p w14:paraId="174026CF"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sz w:val="20"/>
              </w:rPr>
              <w:t>circa</w:t>
            </w:r>
          </w:p>
        </w:tc>
      </w:tr>
      <w:tr w:rsidR="00C85902" w:rsidRPr="00BC7E14" w14:paraId="314AE171"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7056DA69" w14:textId="77777777" w:rsidR="00C85902" w:rsidRPr="00811624" w:rsidRDefault="00C85902" w:rsidP="00FA06F3">
            <w:pPr>
              <w:spacing w:line="240" w:lineRule="auto"/>
              <w:rPr>
                <w:b w:val="0"/>
                <w:bCs w:val="0"/>
                <w:sz w:val="20"/>
                <w:szCs w:val="20"/>
              </w:rPr>
            </w:pPr>
            <w:r w:rsidRPr="00811624">
              <w:rPr>
                <w:b w:val="0"/>
                <w:bCs w:val="0"/>
                <w:sz w:val="20"/>
                <w:szCs w:val="20"/>
              </w:rPr>
              <w:t>CD</w:t>
            </w:r>
          </w:p>
        </w:tc>
        <w:tc>
          <w:tcPr>
            <w:tcW w:w="7355" w:type="dxa"/>
          </w:tcPr>
          <w:p w14:paraId="4F05EC66" w14:textId="77777777" w:rsidR="00C85902" w:rsidRPr="00257A08"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257A08">
              <w:rPr>
                <w:sz w:val="20"/>
                <w:szCs w:val="20"/>
              </w:rPr>
              <w:t>Cluster of differentiation</w:t>
            </w:r>
          </w:p>
        </w:tc>
      </w:tr>
      <w:tr w:rsidR="00C85902" w:rsidRPr="00BC7E14" w14:paraId="2DA824F8"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0B78478" w14:textId="77777777" w:rsidR="00C85902" w:rsidRPr="00811624" w:rsidRDefault="00C85902" w:rsidP="00FA06F3">
            <w:pPr>
              <w:spacing w:line="240" w:lineRule="auto"/>
              <w:rPr>
                <w:b w:val="0"/>
                <w:bCs w:val="0"/>
                <w:sz w:val="20"/>
                <w:szCs w:val="20"/>
              </w:rPr>
            </w:pPr>
            <w:r w:rsidRPr="00811624">
              <w:rPr>
                <w:b w:val="0"/>
                <w:bCs w:val="0"/>
                <w:sz w:val="20"/>
                <w:szCs w:val="20"/>
              </w:rPr>
              <w:t>cDNA</w:t>
            </w:r>
          </w:p>
        </w:tc>
        <w:tc>
          <w:tcPr>
            <w:tcW w:w="7355" w:type="dxa"/>
          </w:tcPr>
          <w:p w14:paraId="3B61AFF5" w14:textId="77777777" w:rsidR="00C85902" w:rsidRPr="00257A08"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Komplementäre desoxyribonukleinsäure</w:t>
            </w:r>
          </w:p>
        </w:tc>
      </w:tr>
      <w:tr w:rsidR="00C85902" w:rsidRPr="00BC7E14" w14:paraId="72F761DC"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269F0534" w14:textId="77777777" w:rsidR="00C85902" w:rsidRPr="00811624" w:rsidRDefault="00C85902" w:rsidP="00FA06F3">
            <w:pPr>
              <w:spacing w:line="240" w:lineRule="auto"/>
              <w:rPr>
                <w:b w:val="0"/>
                <w:bCs w:val="0"/>
                <w:sz w:val="20"/>
                <w:szCs w:val="20"/>
              </w:rPr>
            </w:pPr>
            <w:r w:rsidRPr="00811624">
              <w:rPr>
                <w:rFonts w:cs="Arial"/>
                <w:b w:val="0"/>
                <w:bCs w:val="0"/>
                <w:color w:val="000000"/>
                <w:sz w:val="20"/>
              </w:rPr>
              <w:t>CIS</w:t>
            </w:r>
          </w:p>
        </w:tc>
        <w:tc>
          <w:tcPr>
            <w:tcW w:w="7355" w:type="dxa"/>
          </w:tcPr>
          <w:p w14:paraId="3D975DD4" w14:textId="77777777" w:rsidR="00C85902" w:rsidRPr="00257A08"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A06F3">
              <w:rPr>
                <w:rFonts w:cs="Arial"/>
                <w:color w:val="000000"/>
                <w:sz w:val="20"/>
              </w:rPr>
              <w:t>Carcinoma in situ</w:t>
            </w:r>
          </w:p>
        </w:tc>
      </w:tr>
      <w:tr w:rsidR="00C85902" w:rsidRPr="00BC7E14" w14:paraId="33D30A66"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7721894"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DEPC</w:t>
            </w:r>
          </w:p>
        </w:tc>
        <w:tc>
          <w:tcPr>
            <w:tcW w:w="7355" w:type="dxa"/>
          </w:tcPr>
          <w:p w14:paraId="0F25AFB9"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Pr>
                <w:rFonts w:cs="Arial"/>
                <w:color w:val="000000"/>
                <w:sz w:val="20"/>
              </w:rPr>
              <w:t>Diethylpyrocarbonat</w:t>
            </w:r>
          </w:p>
        </w:tc>
      </w:tr>
      <w:tr w:rsidR="00C85902" w:rsidRPr="00BC7E14" w14:paraId="79EABF03"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4242BBC1"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DNA</w:t>
            </w:r>
          </w:p>
        </w:tc>
        <w:tc>
          <w:tcPr>
            <w:tcW w:w="7355" w:type="dxa"/>
          </w:tcPr>
          <w:p w14:paraId="1529A6A5"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Desoxyribonukleinsäure</w:t>
            </w:r>
          </w:p>
        </w:tc>
      </w:tr>
      <w:tr w:rsidR="00C85902" w:rsidRPr="00BC7E14" w14:paraId="35B4462A"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DAEC356" w14:textId="77777777" w:rsidR="00C85902" w:rsidRPr="00811624" w:rsidRDefault="00C85902" w:rsidP="00FA06F3">
            <w:pPr>
              <w:spacing w:line="240" w:lineRule="auto"/>
              <w:rPr>
                <w:rFonts w:cs="Arial"/>
                <w:b w:val="0"/>
                <w:bCs w:val="0"/>
                <w:color w:val="000000"/>
                <w:sz w:val="20"/>
              </w:rPr>
            </w:pPr>
            <w:r w:rsidRPr="00811624">
              <w:rPr>
                <w:b w:val="0"/>
                <w:bCs w:val="0"/>
                <w:sz w:val="20"/>
                <w:szCs w:val="20"/>
              </w:rPr>
              <w:t>EDTA</w:t>
            </w:r>
          </w:p>
        </w:tc>
        <w:tc>
          <w:tcPr>
            <w:tcW w:w="7355" w:type="dxa"/>
          </w:tcPr>
          <w:p w14:paraId="74888DC9"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257A08">
              <w:rPr>
                <w:sz w:val="20"/>
                <w:szCs w:val="20"/>
              </w:rPr>
              <w:t>Ethylendiamintetraacetat</w:t>
            </w:r>
          </w:p>
        </w:tc>
      </w:tr>
      <w:tr w:rsidR="00C85902" w:rsidRPr="00BC7E14" w14:paraId="6C4FCFA0"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5FF493B2" w14:textId="77777777" w:rsidR="00C85902" w:rsidRPr="00811624" w:rsidRDefault="00C85902" w:rsidP="00FA06F3">
            <w:pPr>
              <w:spacing w:line="240" w:lineRule="auto"/>
              <w:rPr>
                <w:b w:val="0"/>
                <w:bCs w:val="0"/>
                <w:sz w:val="20"/>
                <w:szCs w:val="20"/>
              </w:rPr>
            </w:pPr>
            <w:r>
              <w:rPr>
                <w:b w:val="0"/>
                <w:bCs w:val="0"/>
                <w:sz w:val="20"/>
                <w:szCs w:val="20"/>
              </w:rPr>
              <w:t>GAPDH</w:t>
            </w:r>
          </w:p>
        </w:tc>
        <w:tc>
          <w:tcPr>
            <w:tcW w:w="7355" w:type="dxa"/>
          </w:tcPr>
          <w:p w14:paraId="44D2F6B8" w14:textId="77777777" w:rsidR="00C85902" w:rsidRPr="00257A08"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Glyceraldehyd-3-phosphat-Dehydrogenase</w:t>
            </w:r>
          </w:p>
        </w:tc>
      </w:tr>
      <w:tr w:rsidR="00C85902" w:rsidRPr="00BC7E14" w14:paraId="65FE9666"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CDD24B6"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HL</w:t>
            </w:r>
          </w:p>
        </w:tc>
        <w:tc>
          <w:tcPr>
            <w:tcW w:w="7355" w:type="dxa"/>
          </w:tcPr>
          <w:p w14:paraId="5AD6300F"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rFonts w:cs="Arial"/>
                <w:color w:val="000000"/>
                <w:sz w:val="20"/>
              </w:rPr>
              <w:t xml:space="preserve">Harnleiter </w:t>
            </w:r>
          </w:p>
        </w:tc>
      </w:tr>
      <w:tr w:rsidR="00C85902" w:rsidRPr="00BC7E14" w14:paraId="10908D88"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72DCB6EB" w14:textId="77777777" w:rsidR="00C85902" w:rsidRPr="00811624" w:rsidRDefault="00C85902" w:rsidP="00FA06F3">
            <w:pPr>
              <w:spacing w:line="240" w:lineRule="auto"/>
              <w:rPr>
                <w:rFonts w:cs="Arial"/>
                <w:b w:val="0"/>
                <w:bCs w:val="0"/>
                <w:color w:val="000000"/>
                <w:sz w:val="20"/>
              </w:rPr>
            </w:pPr>
            <w:r>
              <w:rPr>
                <w:rFonts w:cs="Arial"/>
                <w:b w:val="0"/>
                <w:bCs w:val="0"/>
                <w:color w:val="000000"/>
                <w:sz w:val="20"/>
              </w:rPr>
              <w:t>HRP</w:t>
            </w:r>
          </w:p>
        </w:tc>
        <w:tc>
          <w:tcPr>
            <w:tcW w:w="7355" w:type="dxa"/>
          </w:tcPr>
          <w:p w14:paraId="18625CD8"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Meerrettich peroxidase</w:t>
            </w:r>
          </w:p>
        </w:tc>
      </w:tr>
      <w:tr w:rsidR="00C85902" w:rsidRPr="00600BBD" w14:paraId="5FDBEB80"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49263B0"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ICD</w:t>
            </w:r>
          </w:p>
        </w:tc>
        <w:tc>
          <w:tcPr>
            <w:tcW w:w="7355" w:type="dxa"/>
          </w:tcPr>
          <w:p w14:paraId="4F072324"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sidRPr="00FA06F3">
              <w:rPr>
                <w:rFonts w:cs="Arial"/>
                <w:color w:val="000000"/>
                <w:sz w:val="20"/>
                <w:lang w:val="en-GB"/>
              </w:rPr>
              <w:t>International Statistical Classification of Diseases and Related Health Problems</w:t>
            </w:r>
          </w:p>
        </w:tc>
      </w:tr>
      <w:tr w:rsidR="00C85902" w:rsidRPr="00BC7E14" w14:paraId="77DA1501"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2E67C06" w14:textId="77777777" w:rsidR="00C85902" w:rsidRPr="00811624" w:rsidRDefault="00C85902" w:rsidP="00FA06F3">
            <w:pPr>
              <w:spacing w:line="240" w:lineRule="auto"/>
              <w:rPr>
                <w:rFonts w:cs="Arial"/>
                <w:b w:val="0"/>
                <w:bCs w:val="0"/>
                <w:color w:val="000000"/>
                <w:sz w:val="20"/>
              </w:rPr>
            </w:pPr>
            <w:r w:rsidRPr="00811624">
              <w:rPr>
                <w:b w:val="0"/>
                <w:bCs w:val="0"/>
                <w:sz w:val="20"/>
              </w:rPr>
              <w:t>IFN-</w:t>
            </w:r>
            <w:r w:rsidRPr="00811624">
              <w:rPr>
                <w:rFonts w:cs="Arial"/>
                <w:b w:val="0"/>
                <w:bCs w:val="0"/>
                <w:sz w:val="20"/>
              </w:rPr>
              <w:t>γ</w:t>
            </w:r>
          </w:p>
        </w:tc>
        <w:tc>
          <w:tcPr>
            <w:tcW w:w="7355" w:type="dxa"/>
          </w:tcPr>
          <w:p w14:paraId="2F30A296"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FA06F3">
              <w:rPr>
                <w:rFonts w:cs="Arial"/>
                <w:sz w:val="20"/>
              </w:rPr>
              <w:t>Interferon γ</w:t>
            </w:r>
          </w:p>
        </w:tc>
      </w:tr>
      <w:tr w:rsidR="00C85902" w:rsidRPr="00BC7E14" w14:paraId="72EFA6B9"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464B044" w14:textId="77777777" w:rsidR="00C85902" w:rsidRPr="00811624" w:rsidRDefault="00C85902" w:rsidP="00FA06F3">
            <w:pPr>
              <w:spacing w:line="240" w:lineRule="auto"/>
              <w:rPr>
                <w:b w:val="0"/>
                <w:bCs w:val="0"/>
                <w:sz w:val="20"/>
              </w:rPr>
            </w:pPr>
            <w:r w:rsidRPr="00811624">
              <w:rPr>
                <w:b w:val="0"/>
                <w:bCs w:val="0"/>
                <w:sz w:val="20"/>
              </w:rPr>
              <w:t>Ig</w:t>
            </w:r>
          </w:p>
        </w:tc>
        <w:tc>
          <w:tcPr>
            <w:tcW w:w="7355" w:type="dxa"/>
          </w:tcPr>
          <w:p w14:paraId="25CADF92"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Immunglobuline</w:t>
            </w:r>
          </w:p>
        </w:tc>
      </w:tr>
      <w:tr w:rsidR="00C85902" w:rsidRPr="00BC7E14" w14:paraId="728CCA48"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6EDBFA5F" w14:textId="77777777" w:rsidR="00C85902" w:rsidRPr="00811624" w:rsidRDefault="00C85902" w:rsidP="00FA06F3">
            <w:pPr>
              <w:spacing w:line="240" w:lineRule="auto"/>
              <w:rPr>
                <w:rFonts w:cs="Arial"/>
                <w:b w:val="0"/>
                <w:bCs w:val="0"/>
                <w:color w:val="000000"/>
                <w:sz w:val="20"/>
              </w:rPr>
            </w:pPr>
            <w:r w:rsidRPr="00811624">
              <w:rPr>
                <w:rFonts w:cs="Arial"/>
                <w:b w:val="0"/>
                <w:bCs w:val="0"/>
                <w:sz w:val="20"/>
              </w:rPr>
              <w:t>IL</w:t>
            </w:r>
          </w:p>
        </w:tc>
        <w:tc>
          <w:tcPr>
            <w:tcW w:w="7355" w:type="dxa"/>
          </w:tcPr>
          <w:p w14:paraId="0820EF66"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FA06F3">
              <w:rPr>
                <w:rFonts w:cs="Arial"/>
                <w:sz w:val="20"/>
              </w:rPr>
              <w:t>Interleukin</w:t>
            </w:r>
          </w:p>
        </w:tc>
      </w:tr>
      <w:tr w:rsidR="00C85902" w:rsidRPr="00BC7E14" w14:paraId="1B499B11"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E392F22"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kbp</w:t>
            </w:r>
          </w:p>
        </w:tc>
        <w:tc>
          <w:tcPr>
            <w:tcW w:w="7355" w:type="dxa"/>
          </w:tcPr>
          <w:p w14:paraId="12D1F250"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rFonts w:cs="Arial"/>
                <w:color w:val="000000"/>
                <w:sz w:val="20"/>
              </w:rPr>
              <w:t>Kilobasenpaare</w:t>
            </w:r>
          </w:p>
        </w:tc>
      </w:tr>
      <w:tr w:rsidR="00C85902" w:rsidRPr="00BC7E14" w14:paraId="4E2D41B7"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71CE90E6"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MEM</w:t>
            </w:r>
          </w:p>
        </w:tc>
        <w:tc>
          <w:tcPr>
            <w:tcW w:w="7355" w:type="dxa"/>
          </w:tcPr>
          <w:p w14:paraId="1C99AA76"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Minimum Essential Medium</w:t>
            </w:r>
          </w:p>
        </w:tc>
      </w:tr>
      <w:tr w:rsidR="00C85902" w:rsidRPr="00BC7E14" w14:paraId="42D680CE"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93EE2F2"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MHC</w:t>
            </w:r>
          </w:p>
        </w:tc>
        <w:tc>
          <w:tcPr>
            <w:tcW w:w="7355" w:type="dxa"/>
          </w:tcPr>
          <w:p w14:paraId="3C95331C"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rFonts w:cs="Arial"/>
                <w:color w:val="000000"/>
                <w:sz w:val="20"/>
              </w:rPr>
              <w:t>Major Histocompatibility Complex (Haupthistokompatibilitätskomplex)</w:t>
            </w:r>
          </w:p>
        </w:tc>
      </w:tr>
      <w:tr w:rsidR="00C85902" w:rsidRPr="00BC7E14" w14:paraId="3E3B6231"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0DC0FCA" w14:textId="26FE09B8" w:rsidR="00C85902" w:rsidRPr="00C85902" w:rsidRDefault="00C85902" w:rsidP="00FA06F3">
            <w:pPr>
              <w:spacing w:line="240" w:lineRule="auto"/>
              <w:rPr>
                <w:rFonts w:cs="Arial"/>
                <w:b w:val="0"/>
                <w:bCs w:val="0"/>
                <w:color w:val="000000"/>
                <w:sz w:val="20"/>
              </w:rPr>
            </w:pPr>
            <w:r w:rsidRPr="00C85902">
              <w:rPr>
                <w:rFonts w:cs="Arial"/>
                <w:b w:val="0"/>
                <w:bCs w:val="0"/>
                <w:color w:val="000000"/>
                <w:sz w:val="20"/>
              </w:rPr>
              <w:t>Mrd</w:t>
            </w:r>
          </w:p>
        </w:tc>
        <w:tc>
          <w:tcPr>
            <w:tcW w:w="7355" w:type="dxa"/>
          </w:tcPr>
          <w:p w14:paraId="655663B1" w14:textId="2005158E"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Milliarden</w:t>
            </w:r>
          </w:p>
        </w:tc>
      </w:tr>
      <w:tr w:rsidR="00C85902" w:rsidRPr="00BC7E14" w14:paraId="75415162" w14:textId="77777777" w:rsidTr="00B565C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5" w:type="dxa"/>
          </w:tcPr>
          <w:p w14:paraId="3A182B30"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MSM</w:t>
            </w:r>
          </w:p>
        </w:tc>
        <w:tc>
          <w:tcPr>
            <w:tcW w:w="7355" w:type="dxa"/>
          </w:tcPr>
          <w:p w14:paraId="4C3DADCC"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rFonts w:cs="Arial"/>
                <w:color w:val="000000"/>
                <w:sz w:val="20"/>
              </w:rPr>
              <w:t>Männer, die Sex mit Männern haben</w:t>
            </w:r>
          </w:p>
        </w:tc>
      </w:tr>
      <w:tr w:rsidR="00C85902" w:rsidRPr="00BC7E14" w14:paraId="7A166E01"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65DC1A7B"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lang w:val="en-GB"/>
              </w:rPr>
              <w:t>μl</w:t>
            </w:r>
          </w:p>
        </w:tc>
        <w:tc>
          <w:tcPr>
            <w:tcW w:w="7355" w:type="dxa"/>
          </w:tcPr>
          <w:p w14:paraId="47F0C084"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FA06F3">
              <w:rPr>
                <w:rStyle w:val="Hervorhebung"/>
                <w:i w:val="0"/>
                <w:iCs w:val="0"/>
                <w:sz w:val="20"/>
              </w:rPr>
              <w:t>Mikroliter</w:t>
            </w:r>
            <w:r w:rsidRPr="00FA06F3">
              <w:rPr>
                <w:sz w:val="20"/>
              </w:rPr>
              <w:t xml:space="preserve"> (= 10</w:t>
            </w:r>
            <w:r w:rsidRPr="00FA06F3">
              <w:rPr>
                <w:sz w:val="20"/>
                <w:vertAlign w:val="superscript"/>
              </w:rPr>
              <w:t>−6</w:t>
            </w:r>
            <w:r w:rsidRPr="00FA06F3">
              <w:rPr>
                <w:sz w:val="20"/>
              </w:rPr>
              <w:t xml:space="preserve"> l)</w:t>
            </w:r>
          </w:p>
        </w:tc>
      </w:tr>
      <w:tr w:rsidR="00C85902" w:rsidRPr="00BC7E14" w14:paraId="6CEEAD7C"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9870556" w14:textId="77777777" w:rsidR="00C85902" w:rsidRPr="00A00D57" w:rsidRDefault="00C85902" w:rsidP="00FA06F3">
            <w:pPr>
              <w:spacing w:line="240" w:lineRule="auto"/>
              <w:rPr>
                <w:rFonts w:cs="Arial"/>
                <w:b w:val="0"/>
                <w:bCs w:val="0"/>
                <w:color w:val="000000"/>
                <w:sz w:val="20"/>
                <w:lang w:val="en-GB"/>
              </w:rPr>
            </w:pPr>
            <w:r w:rsidRPr="00A00D57">
              <w:rPr>
                <w:rFonts w:cs="Arial"/>
                <w:b w:val="0"/>
                <w:bCs w:val="0"/>
                <w:color w:val="000000"/>
                <w:sz w:val="20"/>
                <w:lang w:val="en-GB"/>
              </w:rPr>
              <w:t>μm</w:t>
            </w:r>
          </w:p>
        </w:tc>
        <w:tc>
          <w:tcPr>
            <w:tcW w:w="7355" w:type="dxa"/>
          </w:tcPr>
          <w:p w14:paraId="5BE4A083" w14:textId="77777777" w:rsidR="00C85902" w:rsidRPr="00A00D57"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Style w:val="Hervorhebung"/>
                <w:i w:val="0"/>
                <w:iCs w:val="0"/>
                <w:sz w:val="20"/>
              </w:rPr>
            </w:pPr>
            <w:r w:rsidRPr="00A00D57">
              <w:rPr>
                <w:rStyle w:val="Hervorhebung"/>
                <w:i w:val="0"/>
                <w:iCs w:val="0"/>
                <w:sz w:val="20"/>
              </w:rPr>
              <w:t>Mikrometer</w:t>
            </w:r>
          </w:p>
        </w:tc>
      </w:tr>
      <w:tr w:rsidR="00C85902" w:rsidRPr="00BC7E14" w14:paraId="3EC8957D"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B825D78"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nm</w:t>
            </w:r>
          </w:p>
        </w:tc>
        <w:tc>
          <w:tcPr>
            <w:tcW w:w="7355" w:type="dxa"/>
          </w:tcPr>
          <w:p w14:paraId="73487BF7"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color w:val="000000"/>
                <w:sz w:val="20"/>
              </w:rPr>
              <w:t>N</w:t>
            </w:r>
            <w:r w:rsidRPr="00FA06F3">
              <w:rPr>
                <w:rFonts w:cs="Arial"/>
                <w:color w:val="000000"/>
                <w:sz w:val="20"/>
              </w:rPr>
              <w:t>anometer</w:t>
            </w:r>
          </w:p>
        </w:tc>
      </w:tr>
      <w:tr w:rsidR="00C85902" w:rsidRPr="00BC7E14" w14:paraId="5746265C"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01B9F79"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rPr>
              <w:t>NTW</w:t>
            </w:r>
          </w:p>
        </w:tc>
        <w:tc>
          <w:tcPr>
            <w:tcW w:w="7355" w:type="dxa"/>
          </w:tcPr>
          <w:p w14:paraId="2EC1AE3D"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FA06F3">
              <w:rPr>
                <w:rFonts w:cs="Arial"/>
                <w:color w:val="000000"/>
                <w:sz w:val="20"/>
              </w:rPr>
              <w:t xml:space="preserve">Non Template Water </w:t>
            </w:r>
          </w:p>
        </w:tc>
      </w:tr>
      <w:tr w:rsidR="00C85902" w:rsidRPr="00BC7E14" w14:paraId="66EB3AB2"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393A8D36" w14:textId="77777777" w:rsidR="00C85902" w:rsidRPr="00811624" w:rsidRDefault="00C85902" w:rsidP="00FA06F3">
            <w:pPr>
              <w:spacing w:line="240" w:lineRule="auto"/>
              <w:rPr>
                <w:rFonts w:cs="Arial"/>
                <w:b w:val="0"/>
                <w:bCs w:val="0"/>
                <w:color w:val="000000"/>
                <w:sz w:val="20"/>
              </w:rPr>
            </w:pPr>
            <w:r w:rsidRPr="00811624">
              <w:rPr>
                <w:rFonts w:cs="Arial"/>
                <w:b w:val="0"/>
                <w:bCs w:val="0"/>
                <w:sz w:val="20"/>
                <w:lang w:val="en-GB"/>
              </w:rPr>
              <w:t>PBS</w:t>
            </w:r>
          </w:p>
        </w:tc>
        <w:tc>
          <w:tcPr>
            <w:tcW w:w="7355" w:type="dxa"/>
          </w:tcPr>
          <w:p w14:paraId="164818C7"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FA06F3">
              <w:rPr>
                <w:rFonts w:cs="Arial"/>
                <w:color w:val="000000"/>
                <w:sz w:val="20"/>
                <w:lang w:val="en-GB"/>
              </w:rPr>
              <w:t>Phosphate Buffered Saline</w:t>
            </w:r>
          </w:p>
        </w:tc>
      </w:tr>
      <w:tr w:rsidR="00C85902" w:rsidRPr="00BC7E14" w14:paraId="3F2D8022"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937A58A" w14:textId="77777777" w:rsidR="00C85902" w:rsidRPr="00811624" w:rsidRDefault="00C85902" w:rsidP="00FA06F3">
            <w:pPr>
              <w:spacing w:line="240" w:lineRule="auto"/>
              <w:rPr>
                <w:rFonts w:cs="Arial"/>
                <w:b w:val="0"/>
                <w:bCs w:val="0"/>
                <w:sz w:val="20"/>
                <w:lang w:val="en-GB"/>
              </w:rPr>
            </w:pPr>
            <w:r w:rsidRPr="00811624">
              <w:rPr>
                <w:rFonts w:cs="Arial"/>
                <w:b w:val="0"/>
                <w:bCs w:val="0"/>
                <w:sz w:val="20"/>
                <w:lang w:val="en-GB"/>
              </w:rPr>
              <w:t>PBS-T</w:t>
            </w:r>
          </w:p>
        </w:tc>
        <w:tc>
          <w:tcPr>
            <w:tcW w:w="7355" w:type="dxa"/>
          </w:tcPr>
          <w:p w14:paraId="16D68809"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Pr>
                <w:rFonts w:cs="Arial"/>
                <w:color w:val="000000"/>
                <w:sz w:val="20"/>
                <w:lang w:val="en-GB"/>
              </w:rPr>
              <w:t>Phosphate Buffered Saline Tween</w:t>
            </w:r>
          </w:p>
        </w:tc>
      </w:tr>
      <w:tr w:rsidR="00C85902" w:rsidRPr="00BC7E14" w14:paraId="38025A27"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4F998167" w14:textId="77777777" w:rsidR="00C85902" w:rsidRPr="00811624" w:rsidRDefault="00C85902" w:rsidP="00FA06F3">
            <w:pPr>
              <w:spacing w:line="240" w:lineRule="auto"/>
              <w:rPr>
                <w:rFonts w:cs="Arial"/>
                <w:b w:val="0"/>
                <w:bCs w:val="0"/>
                <w:sz w:val="20"/>
                <w:lang w:val="en-GB"/>
              </w:rPr>
            </w:pPr>
            <w:r w:rsidRPr="00811624">
              <w:rPr>
                <w:rFonts w:cs="Arial"/>
                <w:b w:val="0"/>
                <w:bCs w:val="0"/>
                <w:sz w:val="20"/>
                <w:lang w:val="en-GB"/>
              </w:rPr>
              <w:t>PMSF</w:t>
            </w:r>
          </w:p>
        </w:tc>
        <w:tc>
          <w:tcPr>
            <w:tcW w:w="7355" w:type="dxa"/>
          </w:tcPr>
          <w:p w14:paraId="4F061938"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lang w:val="en-GB"/>
              </w:rPr>
            </w:pPr>
            <w:r w:rsidRPr="00FA06F3">
              <w:rPr>
                <w:rFonts w:cs="Arial"/>
                <w:color w:val="000000"/>
                <w:sz w:val="20"/>
                <w:lang w:val="en-GB"/>
              </w:rPr>
              <w:t>Phenylmethylsulfonylfluorid</w:t>
            </w:r>
          </w:p>
        </w:tc>
      </w:tr>
      <w:tr w:rsidR="00C85902" w:rsidRPr="00600BBD" w14:paraId="35ABB660"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D4957B8" w14:textId="77777777" w:rsidR="00C85902" w:rsidRPr="00811624" w:rsidRDefault="00C85902" w:rsidP="00FA06F3">
            <w:pPr>
              <w:spacing w:line="240" w:lineRule="auto"/>
              <w:rPr>
                <w:rFonts w:cs="Arial"/>
                <w:b w:val="0"/>
                <w:bCs w:val="0"/>
                <w:sz w:val="20"/>
                <w:lang w:val="en-GB"/>
              </w:rPr>
            </w:pPr>
            <w:r w:rsidRPr="00811624">
              <w:rPr>
                <w:rFonts w:cs="Arial"/>
                <w:b w:val="0"/>
                <w:bCs w:val="0"/>
                <w:sz w:val="20"/>
                <w:lang w:val="en-GB"/>
              </w:rPr>
              <w:t>qRT-PCR</w:t>
            </w:r>
          </w:p>
        </w:tc>
        <w:tc>
          <w:tcPr>
            <w:tcW w:w="7355" w:type="dxa"/>
          </w:tcPr>
          <w:p w14:paraId="11B7079C"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Pr>
                <w:rFonts w:cs="Arial"/>
                <w:color w:val="000000"/>
                <w:sz w:val="20"/>
                <w:lang w:val="en-GB"/>
              </w:rPr>
              <w:t>Quantitative Real Time (Echtzeit) Polymerase-Kettenreaktion</w:t>
            </w:r>
          </w:p>
        </w:tc>
      </w:tr>
      <w:tr w:rsidR="00C85902" w:rsidRPr="00BE5EE0" w14:paraId="69982633"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7805E63" w14:textId="77777777" w:rsidR="00C85902" w:rsidRPr="00811624" w:rsidRDefault="00C85902" w:rsidP="00FA06F3">
            <w:pPr>
              <w:spacing w:line="240" w:lineRule="auto"/>
              <w:rPr>
                <w:rFonts w:cs="Arial"/>
                <w:b w:val="0"/>
                <w:bCs w:val="0"/>
                <w:sz w:val="20"/>
                <w:lang w:val="en-GB"/>
              </w:rPr>
            </w:pPr>
            <w:r>
              <w:rPr>
                <w:rFonts w:cs="Arial"/>
                <w:b w:val="0"/>
                <w:bCs w:val="0"/>
                <w:sz w:val="20"/>
                <w:lang w:val="en-GB"/>
              </w:rPr>
              <w:t>RIPA</w:t>
            </w:r>
          </w:p>
        </w:tc>
        <w:tc>
          <w:tcPr>
            <w:tcW w:w="7355" w:type="dxa"/>
          </w:tcPr>
          <w:p w14:paraId="32B1C9D1" w14:textId="77777777" w:rsidR="00C85902"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lang w:val="en-GB"/>
              </w:rPr>
            </w:pPr>
            <w:r>
              <w:rPr>
                <w:rFonts w:cs="Arial"/>
                <w:color w:val="000000"/>
                <w:sz w:val="20"/>
                <w:lang w:val="en-GB"/>
              </w:rPr>
              <w:t>Radioimmunoprecipitation assay buffer</w:t>
            </w:r>
          </w:p>
        </w:tc>
      </w:tr>
      <w:tr w:rsidR="00C85902" w:rsidRPr="00BE5EE0" w14:paraId="5CC322D6"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CFE531D" w14:textId="77777777" w:rsidR="00C85902" w:rsidRDefault="00C85902" w:rsidP="00FA06F3">
            <w:pPr>
              <w:spacing w:line="240" w:lineRule="auto"/>
              <w:rPr>
                <w:rFonts w:cs="Arial"/>
                <w:b w:val="0"/>
                <w:bCs w:val="0"/>
                <w:sz w:val="20"/>
                <w:lang w:val="en-GB"/>
              </w:rPr>
            </w:pPr>
            <w:r>
              <w:rPr>
                <w:rFonts w:cs="Arial"/>
                <w:b w:val="0"/>
                <w:bCs w:val="0"/>
                <w:sz w:val="20"/>
                <w:lang w:val="en-GB"/>
              </w:rPr>
              <w:t>RNA</w:t>
            </w:r>
          </w:p>
        </w:tc>
        <w:tc>
          <w:tcPr>
            <w:tcW w:w="7355" w:type="dxa"/>
          </w:tcPr>
          <w:p w14:paraId="13C7382F" w14:textId="77777777" w:rsidR="00C85902"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Pr>
                <w:rFonts w:cs="Arial"/>
                <w:color w:val="000000"/>
                <w:sz w:val="20"/>
                <w:lang w:val="en-GB"/>
              </w:rPr>
              <w:t>Ribonukleinsäure</w:t>
            </w:r>
          </w:p>
        </w:tc>
      </w:tr>
      <w:tr w:rsidR="00C85902" w:rsidRPr="00020DBF" w14:paraId="5EB5359B"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451C5BAF" w14:textId="77777777" w:rsidR="00C85902" w:rsidRPr="00020DBF" w:rsidRDefault="00C85902" w:rsidP="00FA06F3">
            <w:pPr>
              <w:spacing w:line="240" w:lineRule="auto"/>
              <w:rPr>
                <w:rFonts w:cs="Arial"/>
                <w:b w:val="0"/>
                <w:bCs w:val="0"/>
                <w:sz w:val="20"/>
                <w:lang w:val="en-GB"/>
              </w:rPr>
            </w:pPr>
            <w:r w:rsidRPr="00020DBF">
              <w:rPr>
                <w:rFonts w:cs="Arial"/>
                <w:b w:val="0"/>
                <w:bCs w:val="0"/>
                <w:sz w:val="20"/>
                <w:lang w:val="en-GB"/>
              </w:rPr>
              <w:t>SDS-PAGE</w:t>
            </w:r>
          </w:p>
        </w:tc>
        <w:tc>
          <w:tcPr>
            <w:tcW w:w="7355" w:type="dxa"/>
          </w:tcPr>
          <w:p w14:paraId="6BF630A6" w14:textId="77777777" w:rsidR="00C85902" w:rsidRPr="00020DBF"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020DBF">
              <w:rPr>
                <w:sz w:val="20"/>
                <w:szCs w:val="20"/>
              </w:rPr>
              <w:t>Sodium dodecylsulfat (natriumdodecylsulfat) polyacrylamid gel Elektrophorese</w:t>
            </w:r>
          </w:p>
        </w:tc>
      </w:tr>
      <w:tr w:rsidR="00C85902" w:rsidRPr="00600BBD" w14:paraId="29BEE559"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8D66B53" w14:textId="77777777" w:rsidR="00C85902" w:rsidRPr="00811624" w:rsidRDefault="00C85902" w:rsidP="00FA06F3">
            <w:pPr>
              <w:spacing w:line="240" w:lineRule="auto"/>
              <w:rPr>
                <w:rFonts w:cs="Arial"/>
                <w:b w:val="0"/>
                <w:bCs w:val="0"/>
                <w:sz w:val="20"/>
                <w:lang w:val="en-GB"/>
              </w:rPr>
            </w:pPr>
            <w:r w:rsidRPr="00811624">
              <w:rPr>
                <w:rFonts w:cs="Arial"/>
                <w:b w:val="0"/>
                <w:bCs w:val="0"/>
                <w:sz w:val="20"/>
                <w:lang w:val="en-GB"/>
              </w:rPr>
              <w:t>SMC</w:t>
            </w:r>
          </w:p>
        </w:tc>
        <w:tc>
          <w:tcPr>
            <w:tcW w:w="7355" w:type="dxa"/>
          </w:tcPr>
          <w:p w14:paraId="04E03E33"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sidRPr="00FA06F3">
              <w:rPr>
                <w:rFonts w:cs="Arial"/>
                <w:color w:val="000000"/>
                <w:sz w:val="20"/>
                <w:lang w:val="en-GB"/>
              </w:rPr>
              <w:t>Smooth muscle Cell</w:t>
            </w:r>
            <w:r>
              <w:rPr>
                <w:rFonts w:cs="Arial"/>
                <w:color w:val="000000"/>
                <w:sz w:val="20"/>
                <w:lang w:val="en-GB"/>
              </w:rPr>
              <w:t xml:space="preserve"> (glatte Muskelzelle)</w:t>
            </w:r>
          </w:p>
        </w:tc>
      </w:tr>
      <w:tr w:rsidR="00C85902" w:rsidRPr="0095409A" w14:paraId="0E620D7E"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B71515D" w14:textId="77777777" w:rsidR="00C85902" w:rsidRPr="0095409A" w:rsidRDefault="00C85902" w:rsidP="00FA06F3">
            <w:pPr>
              <w:spacing w:line="240" w:lineRule="auto"/>
              <w:rPr>
                <w:rFonts w:cs="Arial"/>
                <w:b w:val="0"/>
                <w:bCs w:val="0"/>
                <w:sz w:val="20"/>
                <w:lang w:val="en-GB"/>
              </w:rPr>
            </w:pPr>
            <w:r w:rsidRPr="0095409A">
              <w:rPr>
                <w:rFonts w:cs="Arial"/>
                <w:b w:val="0"/>
                <w:bCs w:val="0"/>
                <w:sz w:val="20"/>
                <w:lang w:val="en-GB"/>
              </w:rPr>
              <w:t>RKI</w:t>
            </w:r>
          </w:p>
        </w:tc>
        <w:tc>
          <w:tcPr>
            <w:tcW w:w="7355" w:type="dxa"/>
          </w:tcPr>
          <w:p w14:paraId="654B21F1"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lang w:val="en-GB"/>
              </w:rPr>
            </w:pPr>
            <w:r>
              <w:rPr>
                <w:rFonts w:cs="Arial"/>
                <w:color w:val="000000"/>
                <w:sz w:val="20"/>
                <w:lang w:val="en-GB"/>
              </w:rPr>
              <w:t>Robert Koch Institut</w:t>
            </w:r>
          </w:p>
        </w:tc>
      </w:tr>
      <w:tr w:rsidR="00C85902" w:rsidRPr="00BE5EE0" w14:paraId="144E157C"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2AC66AD" w14:textId="77777777" w:rsidR="00C85902" w:rsidRPr="00811624" w:rsidRDefault="00C85902" w:rsidP="00FA06F3">
            <w:pPr>
              <w:spacing w:line="240" w:lineRule="auto"/>
              <w:rPr>
                <w:rFonts w:cs="Arial"/>
                <w:b w:val="0"/>
                <w:bCs w:val="0"/>
                <w:sz w:val="20"/>
                <w:lang w:val="en-GB"/>
              </w:rPr>
            </w:pPr>
            <w:r>
              <w:rPr>
                <w:rFonts w:cs="Arial"/>
                <w:b w:val="0"/>
                <w:bCs w:val="0"/>
                <w:sz w:val="20"/>
                <w:lang w:val="en-GB"/>
              </w:rPr>
              <w:t>TEMED</w:t>
            </w:r>
          </w:p>
        </w:tc>
        <w:tc>
          <w:tcPr>
            <w:tcW w:w="7355" w:type="dxa"/>
          </w:tcPr>
          <w:p w14:paraId="0AEBD4C4"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Pr>
                <w:rFonts w:cs="Arial"/>
                <w:color w:val="000000"/>
                <w:sz w:val="20"/>
                <w:lang w:val="en-GB"/>
              </w:rPr>
              <w:t>Tetramethylethylendiamin</w:t>
            </w:r>
          </w:p>
        </w:tc>
      </w:tr>
      <w:tr w:rsidR="00C85902" w:rsidRPr="00BC7E14" w14:paraId="621099C1"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29AE4F5" w14:textId="77777777" w:rsidR="00C85902" w:rsidRPr="00811624" w:rsidRDefault="00C85902" w:rsidP="00FA06F3">
            <w:pPr>
              <w:spacing w:line="240" w:lineRule="auto"/>
              <w:rPr>
                <w:rFonts w:cs="Arial"/>
                <w:b w:val="0"/>
                <w:bCs w:val="0"/>
                <w:sz w:val="20"/>
                <w:lang w:val="en-GB"/>
              </w:rPr>
            </w:pPr>
            <w:r w:rsidRPr="00811624">
              <w:rPr>
                <w:rFonts w:cs="Arial"/>
                <w:b w:val="0"/>
                <w:bCs w:val="0"/>
                <w:sz w:val="20"/>
                <w:lang w:val="en-GB"/>
              </w:rPr>
              <w:t>TNM</w:t>
            </w:r>
          </w:p>
        </w:tc>
        <w:tc>
          <w:tcPr>
            <w:tcW w:w="7355" w:type="dxa"/>
          </w:tcPr>
          <w:p w14:paraId="5B4E333D"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lang w:val="en-GB"/>
              </w:rPr>
            </w:pPr>
            <w:r w:rsidRPr="00FA06F3">
              <w:rPr>
                <w:rFonts w:cs="Arial"/>
                <w:color w:val="000000"/>
                <w:sz w:val="20"/>
                <w:lang w:val="en-GB"/>
              </w:rPr>
              <w:t>Tumor Lymphknoten Metastase</w:t>
            </w:r>
          </w:p>
        </w:tc>
      </w:tr>
      <w:tr w:rsidR="00C85902" w:rsidRPr="00BC7E14" w14:paraId="58FA9CC4"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1E75EDA" w14:textId="77777777" w:rsidR="00C85902" w:rsidRPr="00811624" w:rsidRDefault="00C85902" w:rsidP="00FA06F3">
            <w:pPr>
              <w:spacing w:line="240" w:lineRule="auto"/>
              <w:rPr>
                <w:rFonts w:cs="Arial"/>
                <w:b w:val="0"/>
                <w:bCs w:val="0"/>
                <w:sz w:val="20"/>
                <w:lang w:val="en-GB"/>
              </w:rPr>
            </w:pPr>
            <w:r>
              <w:rPr>
                <w:rFonts w:cs="Arial"/>
                <w:b w:val="0"/>
                <w:bCs w:val="0"/>
                <w:sz w:val="20"/>
                <w:lang w:val="en-GB"/>
              </w:rPr>
              <w:t>Tris</w:t>
            </w:r>
          </w:p>
        </w:tc>
        <w:tc>
          <w:tcPr>
            <w:tcW w:w="7355" w:type="dxa"/>
          </w:tcPr>
          <w:p w14:paraId="142E8D97"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Pr>
                <w:rFonts w:cs="Arial"/>
                <w:color w:val="000000"/>
                <w:sz w:val="20"/>
                <w:lang w:val="en-GB"/>
              </w:rPr>
              <w:t>Tris(hydroxymethyl)aminomethan</w:t>
            </w:r>
          </w:p>
        </w:tc>
      </w:tr>
      <w:tr w:rsidR="00C85902" w:rsidRPr="00BC7E14" w14:paraId="71F3F007"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215CECE9" w14:textId="77777777" w:rsidR="00C85902" w:rsidRPr="00811624" w:rsidRDefault="00C85902" w:rsidP="00FA06F3">
            <w:pPr>
              <w:spacing w:line="240" w:lineRule="auto"/>
              <w:rPr>
                <w:rFonts w:cs="Arial"/>
                <w:b w:val="0"/>
                <w:bCs w:val="0"/>
                <w:color w:val="000000"/>
                <w:sz w:val="20"/>
              </w:rPr>
            </w:pPr>
            <w:r w:rsidRPr="00811624">
              <w:rPr>
                <w:rFonts w:cs="Arial"/>
                <w:b w:val="0"/>
                <w:bCs w:val="0"/>
                <w:color w:val="000000"/>
                <w:sz w:val="20"/>
                <w:lang w:val="en-GB"/>
              </w:rPr>
              <w:t>TUR</w:t>
            </w:r>
          </w:p>
        </w:tc>
        <w:tc>
          <w:tcPr>
            <w:tcW w:w="7355" w:type="dxa"/>
          </w:tcPr>
          <w:p w14:paraId="04F97B18"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FA06F3">
              <w:rPr>
                <w:rFonts w:cs="Arial"/>
                <w:color w:val="000000"/>
                <w:sz w:val="20"/>
                <w:lang w:val="en-GB"/>
              </w:rPr>
              <w:t>Transurethrale Resektion</w:t>
            </w:r>
          </w:p>
        </w:tc>
      </w:tr>
      <w:tr w:rsidR="00C85902" w:rsidRPr="00600BBD" w14:paraId="22FE653D" w14:textId="77777777" w:rsidTr="00E0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64C321B" w14:textId="77777777" w:rsidR="00C85902" w:rsidRPr="00811624" w:rsidRDefault="00C85902" w:rsidP="00FA06F3">
            <w:pPr>
              <w:spacing w:line="240" w:lineRule="auto"/>
              <w:rPr>
                <w:rFonts w:cs="Arial"/>
                <w:b w:val="0"/>
                <w:bCs w:val="0"/>
                <w:color w:val="000000"/>
                <w:sz w:val="20"/>
              </w:rPr>
            </w:pPr>
            <w:r w:rsidRPr="00811624">
              <w:rPr>
                <w:b w:val="0"/>
                <w:bCs w:val="0"/>
                <w:sz w:val="20"/>
                <w:lang w:val="en-GB"/>
              </w:rPr>
              <w:t>UICC</w:t>
            </w:r>
          </w:p>
        </w:tc>
        <w:tc>
          <w:tcPr>
            <w:tcW w:w="7355" w:type="dxa"/>
          </w:tcPr>
          <w:p w14:paraId="242B0F80" w14:textId="77777777" w:rsidR="00C85902" w:rsidRPr="00FA06F3" w:rsidRDefault="00C85902" w:rsidP="00FA06F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lang w:val="en-GB"/>
              </w:rPr>
            </w:pPr>
            <w:r w:rsidRPr="00FA06F3">
              <w:rPr>
                <w:sz w:val="20"/>
                <w:lang w:val="en-GB"/>
              </w:rPr>
              <w:t>Union for International Cancer Control</w:t>
            </w:r>
          </w:p>
        </w:tc>
      </w:tr>
      <w:tr w:rsidR="00C85902" w:rsidRPr="00BC7E14" w14:paraId="4546307C" w14:textId="77777777" w:rsidTr="00E02AF1">
        <w:tc>
          <w:tcPr>
            <w:cnfStyle w:val="001000000000" w:firstRow="0" w:lastRow="0" w:firstColumn="1" w:lastColumn="0" w:oddVBand="0" w:evenVBand="0" w:oddHBand="0" w:evenHBand="0" w:firstRowFirstColumn="0" w:firstRowLastColumn="0" w:lastRowFirstColumn="0" w:lastRowLastColumn="0"/>
            <w:tcW w:w="1365" w:type="dxa"/>
          </w:tcPr>
          <w:p w14:paraId="147E906E" w14:textId="77777777" w:rsidR="00C85902" w:rsidRPr="00811624" w:rsidRDefault="00C85902" w:rsidP="00FA06F3">
            <w:pPr>
              <w:spacing w:line="240" w:lineRule="auto"/>
              <w:rPr>
                <w:b w:val="0"/>
                <w:bCs w:val="0"/>
                <w:sz w:val="20"/>
                <w:lang w:val="en-GB"/>
              </w:rPr>
            </w:pPr>
            <w:r w:rsidRPr="00811624">
              <w:rPr>
                <w:rFonts w:cs="Arial"/>
                <w:b w:val="0"/>
                <w:bCs w:val="0"/>
                <w:color w:val="000000"/>
                <w:sz w:val="20"/>
                <w:lang w:val="en-GB"/>
              </w:rPr>
              <w:t>WHO</w:t>
            </w:r>
          </w:p>
        </w:tc>
        <w:tc>
          <w:tcPr>
            <w:tcW w:w="7355" w:type="dxa"/>
          </w:tcPr>
          <w:p w14:paraId="56779970" w14:textId="77777777" w:rsidR="00C85902" w:rsidRPr="00FA06F3" w:rsidRDefault="00C85902" w:rsidP="00FA06F3">
            <w:pPr>
              <w:spacing w:line="240" w:lineRule="auto"/>
              <w:cnfStyle w:val="000000000000" w:firstRow="0" w:lastRow="0" w:firstColumn="0" w:lastColumn="0" w:oddVBand="0" w:evenVBand="0" w:oddHBand="0" w:evenHBand="0" w:firstRowFirstColumn="0" w:firstRowLastColumn="0" w:lastRowFirstColumn="0" w:lastRowLastColumn="0"/>
              <w:rPr>
                <w:sz w:val="20"/>
                <w:lang w:val="en-GB"/>
              </w:rPr>
            </w:pPr>
            <w:r w:rsidRPr="00FA06F3">
              <w:rPr>
                <w:rFonts w:cs="Arial"/>
                <w:color w:val="000000"/>
                <w:sz w:val="20"/>
                <w:lang w:val="en-GB"/>
              </w:rPr>
              <w:t>World Health Organisation</w:t>
            </w:r>
          </w:p>
        </w:tc>
      </w:tr>
    </w:tbl>
    <w:p w14:paraId="30BED3DF" w14:textId="77777777" w:rsidR="00C85902" w:rsidRDefault="00C85902" w:rsidP="002F6D8E"/>
    <w:p w14:paraId="23D2EF26" w14:textId="77777777" w:rsidR="00C85902" w:rsidRDefault="00C85902">
      <w:pPr>
        <w:spacing w:line="259" w:lineRule="auto"/>
        <w:rPr>
          <w:rFonts w:eastAsiaTheme="majorEastAsia" w:cstheme="majorBidi"/>
          <w:b/>
          <w:bCs/>
          <w:color w:val="000000" w:themeColor="text1"/>
          <w:sz w:val="28"/>
          <w:szCs w:val="28"/>
        </w:rPr>
      </w:pPr>
      <w:r>
        <w:br w:type="page"/>
      </w:r>
    </w:p>
    <w:p w14:paraId="6E2D562D" w14:textId="77777777" w:rsidR="00C85902" w:rsidRDefault="00C85902" w:rsidP="005B7C43">
      <w:pPr>
        <w:pStyle w:val="berschrift1"/>
      </w:pPr>
      <w:bookmarkStart w:id="2" w:name="_Toc121158635"/>
      <w:r w:rsidRPr="00383E33">
        <w:t>Einleitung</w:t>
      </w:r>
      <w:bookmarkEnd w:id="2"/>
    </w:p>
    <w:p w14:paraId="5C4FE03A" w14:textId="77777777" w:rsidR="00C85902" w:rsidRDefault="00C85902" w:rsidP="008E2BBB">
      <w:r>
        <w:t>Tumormarker sind in der modernen Tumortherapie von großem Interesse, da sie neue Perspektiven sowohl für die Diagnostik, Therapie als auch das Monitoring eröffnen. CD276 ist Teil der B7-Familie und als solches ein vielsprechender Kandidat sowohl als Marker als auch für die Therapie von Tumorerkrankungen, insbesondere für die Therapie von Blasenkrebs. Eine Modulation der Expression von CD276 durch eine häufig asymptomatisch verlaufende chronische Infektion mit Mykoplasmen kann unter Umständen zu einer falsch-positiven oder falsch-negativen Diagnostik oder sogar zu einem verminderten Therapieansprechen führen.</w:t>
      </w:r>
    </w:p>
    <w:p w14:paraId="7F59EFDA" w14:textId="77777777" w:rsidR="00C85902" w:rsidRPr="008E2BBB" w:rsidRDefault="00C85902" w:rsidP="008E2BBB">
      <w:r>
        <w:t>Die Einleitung zu der Arbeit unterteilt sich in drei Aspekte, die im Folgenden kurz erläutert werden. Der Einstieg erfolgt über die klinische Relevanz und Behandlungsaspekte des Urothelkarzinoms. Hierbei werden anatomische und physiologische Grundlagen wiederholt und der Stand der aktuellen S3 Behandlungsleitlinie für Blasenkrebs erläutert. Darauf aufbauend werden im zweiten Teil Behandlungsansätze in der Tumortherapie und hierbei insbesondere die Expression und Relevanz von CD276 und anderen Tumormarkern erläutert. Außerdem wird auf die molekularen Regulationsmechanismen eingegangen, um den Zusammenhang zwischen CD276 und Blasenkrebs dazulegen. Der dritte Teil der Einleitung beschäftigt sich mit den Eigenschaften und dem Nachweis von Mykoplasmen, woraus sich in der Zusammenschau mit den vorherigen Punkten der Einleitung das Ziel dieser Arbeit ergibt.</w:t>
      </w:r>
    </w:p>
    <w:p w14:paraId="385375C8" w14:textId="77777777" w:rsidR="00C85902" w:rsidRDefault="00C85902" w:rsidP="00880459">
      <w:pPr>
        <w:pStyle w:val="berschrift2"/>
      </w:pPr>
      <w:bookmarkStart w:id="3" w:name="_Toc121158636"/>
      <w:r>
        <w:t>Klinische Relevanz und Behandlungsaspekte des Urothelkarzinoms</w:t>
      </w:r>
      <w:bookmarkEnd w:id="3"/>
    </w:p>
    <w:p w14:paraId="74DA4F99" w14:textId="77777777" w:rsidR="00C85902" w:rsidRPr="00DE195D" w:rsidRDefault="00C85902" w:rsidP="00DE195D">
      <w:r>
        <w:t xml:space="preserve">Der Einstieg in die Thematik des Urothelkarzinoms erfolgt über die Wiederholung der allgemeinen Histologie und der Eigenschaften des Urothels. Darauf aufbauend werden die Eigenschaften, die Epidemiologie und die Risikofaktoren des Urothelkarzinoms erläutert. Anschließend erfolgt die Beschreibung der Diagnostik, Klassifikation und Therapie des Urothelkarzinoms. Zusätzlich wird der wirtschaftliche Aspekt des Urothelkarzinoms beleuchtet, aus dem sich die Notwendigkeit zur Erforschung und Entwicklung neuer Therapie- und Screening- Möglichkeiten ergibt. </w:t>
      </w:r>
    </w:p>
    <w:p w14:paraId="762C8788" w14:textId="77777777" w:rsidR="00C85902" w:rsidRDefault="00C85902" w:rsidP="00C85CBC">
      <w:pPr>
        <w:pStyle w:val="berschrift3"/>
      </w:pPr>
      <w:bookmarkStart w:id="4" w:name="_Toc121158637"/>
      <w:r>
        <w:t>Allgemeine Histologie und Eigenschaften des Urothels</w:t>
      </w:r>
      <w:bookmarkEnd w:id="4"/>
    </w:p>
    <w:p w14:paraId="25585C6D" w14:textId="77777777" w:rsidR="00C85902" w:rsidRDefault="00C85902" w:rsidP="00880459">
      <w:r>
        <w:t xml:space="preserve">Das Urothel, auch Übergangsepithel oder Epithelium transitionale genannt, ist ein mehrschichtiges Epithel, das sich aus einer einlagigen Basalschicht, einer aus mehreren Zelllagen bestehenden Intermediärschicht und oberflächlichen Deckzellen (engl.: Umbrella Cells) zusammensetzt </w:t>
      </w:r>
      <w:r>
        <w:rPr>
          <w:noProof/>
        </w:rPr>
        <w:t>(Lobban et al., 1998, Lüllmann-Rauch and Asan, 2015)</w:t>
      </w:r>
      <w:r>
        <w:t xml:space="preserve">. Es wird immer wieder die Annahme geäußert, dass es sich bei dem Urothel nicht um ein mehrschichtiges, sondern um ein mehrreihiges Epithel handelt. Diese Annahme konnte aber bisher nicht abschließend geklärt werden </w:t>
      </w:r>
      <w:r>
        <w:rPr>
          <w:noProof/>
        </w:rPr>
        <w:t>(Lüllmann-Rauch and Asan, 2015)</w:t>
      </w:r>
      <w:r>
        <w:t>.</w:t>
      </w:r>
    </w:p>
    <w:p w14:paraId="49DE8A5A" w14:textId="2842BBFA" w:rsidR="00C85902" w:rsidRDefault="00C85902" w:rsidP="00880459">
      <w:r>
        <w:t xml:space="preserve">Die Deckzellen sind deutlich größer und oft polyploid, was sie mit einer Lebensdauer von ca. 300 Tagen deutlich langlebiger als andere Zellen macht </w:t>
      </w:r>
      <w:r>
        <w:rPr>
          <w:noProof/>
        </w:rPr>
        <w:t>(Lüllmann-Rauch and Asan, 2015)</w:t>
      </w:r>
      <w:r>
        <w:t xml:space="preserve">. Sie verfügen apikal zusätzlich über Uroplakine. Hierbei handelt es sich um spezifische Transmembranproteine, die gemeinsam mit den Tight Junctions für eine Permeabilitätsschranke gegenüber dem Harn sorgen </w:t>
      </w:r>
      <w:r>
        <w:rPr>
          <w:noProof/>
        </w:rPr>
        <w:t>(Min et al., 2003)</w:t>
      </w:r>
      <w:r>
        <w:t xml:space="preserve">. Uroplakine liegen in den Deckzellen apikal in Vesikeln gespeichert vor (dies wird teilweise als Crusta urothelialis bezeichnet) und werden bei Ausdehnung der Blase durch Exozytose an die Zellmembran abgegeben, welche so noch mehr Intermediärzellen überdecken kann. Dies sorgt für eine noch bessere Abdichtung gegenüber dem Harn. </w:t>
      </w:r>
    </w:p>
    <w:p w14:paraId="796E86D8" w14:textId="4F9143F3" w:rsidR="00C85902" w:rsidRDefault="00C85902" w:rsidP="00880459">
      <w:r>
        <w:t xml:space="preserve">Urothel ist im Bereich der ableitenden Harnwege zu finden. Es beginnt an den Kelchen des Nierenbeckens und ist sowohl in den Harnleitern als auch in der Harnblase zu finden (siehe Zeichnung A in </w:t>
      </w:r>
      <w:r>
        <w:fldChar w:fldCharType="begin"/>
      </w:r>
      <w:r>
        <w:instrText xml:space="preserve"> REF _Ref120293291 \h </w:instrText>
      </w:r>
      <w:r>
        <w:fldChar w:fldCharType="separate"/>
      </w:r>
      <w:r w:rsidR="00791554">
        <w:t xml:space="preserve">Abbildung </w:t>
      </w:r>
      <w:r w:rsidR="00791554">
        <w:rPr>
          <w:noProof/>
        </w:rPr>
        <w:t>1</w:t>
      </w:r>
      <w:r>
        <w:fldChar w:fldCharType="end"/>
      </w:r>
      <w:r>
        <w:t xml:space="preserve">). Bei Frauen ist nur im proximalen Teil der Harnröhre noch Urothel zu finden, während die restliche Harnröhre mit unverhorntem, mehrschichtigen Plattenepithel ausgekleidet ist. Bei Männern ist die Harnröhre bis zur den Ductus ejaculaorii mit Urothel ausgekleidet, während distal mehrschichtiges Zylinderepithel zu finden ist. </w:t>
      </w:r>
    </w:p>
    <w:p w14:paraId="2037F8BE" w14:textId="41BFB345" w:rsidR="00C85902" w:rsidRDefault="00C85902" w:rsidP="00880459">
      <w:r>
        <w:t xml:space="preserve">Aus diesen morphologischen wie auch anatomischen Eigenschaften ergibt sich die funktionale Besonderheit des Urothels. Es ist in der Lage, sich den regelmäßigen Volumenänderungen der Harnblase anzupassen und eine optimale Abdichtung gegenüber dem Urin zu gewährleisten (siehe Zeichnungen B, C und D in </w:t>
      </w:r>
      <w:r>
        <w:fldChar w:fldCharType="begin"/>
      </w:r>
      <w:r>
        <w:instrText xml:space="preserve"> REF _Ref120293291 \h </w:instrText>
      </w:r>
      <w:r>
        <w:fldChar w:fldCharType="separate"/>
      </w:r>
      <w:r w:rsidR="00791554">
        <w:t xml:space="preserve">Abbildung </w:t>
      </w:r>
      <w:r w:rsidR="00791554">
        <w:rPr>
          <w:noProof/>
        </w:rPr>
        <w:t>1</w:t>
      </w:r>
      <w:r>
        <w:fldChar w:fldCharType="end"/>
      </w:r>
      <w:r>
        <w:t xml:space="preserve">). </w:t>
      </w:r>
    </w:p>
    <w:p w14:paraId="1E4E56A2" w14:textId="77777777" w:rsidR="00C85902" w:rsidRDefault="00C85902" w:rsidP="00E21333">
      <w:pPr>
        <w:keepNext/>
      </w:pPr>
      <w:r>
        <w:rPr>
          <w:noProof/>
        </w:rPr>
        <w:drawing>
          <wp:inline distT="0" distB="0" distL="0" distR="0" wp14:anchorId="77B748AE" wp14:editId="4D6C2F6D">
            <wp:extent cx="5400040" cy="38671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0" cstate="print">
                      <a:extLst>
                        <a:ext uri="{28A0092B-C50C-407E-A947-70E740481C1C}">
                          <a14:useLocalDpi xmlns:a14="http://schemas.microsoft.com/office/drawing/2010/main" val="0"/>
                        </a:ext>
                      </a:extLst>
                    </a:blip>
                    <a:srcRect t="3645" b="3873"/>
                    <a:stretch/>
                  </pic:blipFill>
                  <pic:spPr bwMode="auto">
                    <a:xfrm>
                      <a:off x="0" y="0"/>
                      <a:ext cx="5400040" cy="3867150"/>
                    </a:xfrm>
                    <a:prstGeom prst="rect">
                      <a:avLst/>
                    </a:prstGeom>
                    <a:ln>
                      <a:noFill/>
                    </a:ln>
                    <a:extLst>
                      <a:ext uri="{53640926-AAD7-44D8-BBD7-CCE9431645EC}">
                        <a14:shadowObscured xmlns:a14="http://schemas.microsoft.com/office/drawing/2010/main"/>
                      </a:ext>
                    </a:extLst>
                  </pic:spPr>
                </pic:pic>
              </a:graphicData>
            </a:graphic>
          </wp:inline>
        </w:drawing>
      </w:r>
    </w:p>
    <w:p w14:paraId="3E5E54E0" w14:textId="4D2CBF21" w:rsidR="00C85902" w:rsidRPr="002F6D8E" w:rsidRDefault="00C85902" w:rsidP="00E21333">
      <w:pPr>
        <w:pStyle w:val="Beschriftung"/>
        <w:rPr>
          <w:vanish/>
          <w:specVanish/>
        </w:rPr>
      </w:pPr>
      <w:bookmarkStart w:id="5" w:name="_Ref120293291"/>
      <w:bookmarkStart w:id="6" w:name="_Toc120649878"/>
      <w:r>
        <w:t xml:space="preserve">Abbildung </w:t>
      </w:r>
      <w:r>
        <w:fldChar w:fldCharType="begin"/>
      </w:r>
      <w:r>
        <w:instrText xml:space="preserve"> SEQ Abbildung \* ARABIC </w:instrText>
      </w:r>
      <w:r>
        <w:fldChar w:fldCharType="separate"/>
      </w:r>
      <w:r w:rsidR="00791554">
        <w:rPr>
          <w:noProof/>
        </w:rPr>
        <w:t>1</w:t>
      </w:r>
      <w:r>
        <w:rPr>
          <w:noProof/>
        </w:rPr>
        <w:fldChar w:fldCharType="end"/>
      </w:r>
      <w:bookmarkEnd w:id="5"/>
      <w:r>
        <w:t xml:space="preserve"> </w:t>
      </w:r>
      <w:r w:rsidRPr="00E33681">
        <w:t>Übersicht Vorkommen und Aufbau von Urothel</w:t>
      </w:r>
      <w:bookmarkEnd w:id="6"/>
      <w:r>
        <w:t xml:space="preserve"> </w:t>
      </w:r>
    </w:p>
    <w:p w14:paraId="43EAEEEA" w14:textId="77777777" w:rsidR="00C85902" w:rsidRPr="004B447A" w:rsidRDefault="00C85902" w:rsidP="00E21333">
      <w:pPr>
        <w:pStyle w:val="Beschriftung"/>
      </w:pPr>
      <w:r>
        <w:t xml:space="preserve"> </w:t>
      </w:r>
      <w:r>
        <w:br/>
        <w:t>Auf der Abbildung A ist das Vorkommen von Urothel im Urogenitaltrakt mit grau markiert. Abbildung B stellt den anatomischen Aufbau der Harnblase schematisch dar. Abbildung C zeigt die Morphologie des Epithels in der Harnblase bei leerer Blase und Abbildung D zeigt die morphologischen Eigenschafen des Epithels bei voller Harnblase.</w:t>
      </w:r>
    </w:p>
    <w:p w14:paraId="26DC632C" w14:textId="77777777" w:rsidR="00C85902" w:rsidRDefault="00C85902" w:rsidP="00C85CBC">
      <w:pPr>
        <w:pStyle w:val="berschrift3"/>
      </w:pPr>
      <w:bookmarkStart w:id="7" w:name="_Toc121158638"/>
      <w:r>
        <w:t>Eigenschaften, Epidemiologie und Risikofaktoren des Urothelkarzinoms</w:t>
      </w:r>
      <w:bookmarkEnd w:id="7"/>
      <w:r>
        <w:t xml:space="preserve"> </w:t>
      </w:r>
    </w:p>
    <w:p w14:paraId="6FD5527E" w14:textId="77777777" w:rsidR="00C85902" w:rsidRDefault="00C85902" w:rsidP="00880459">
      <w:r>
        <w:t xml:space="preserve">Unter dem Begriff </w:t>
      </w:r>
      <w:r w:rsidRPr="00AC6567">
        <w:t>Karzinom</w:t>
      </w:r>
      <w:r>
        <w:t xml:space="preserve"> versteht man eine bösartige Erkrankung, welche aus Epithelzellen entsteht und ca. 80% aller bösartigen soliden Tumore ausmacht </w:t>
      </w:r>
      <w:r>
        <w:rPr>
          <w:noProof/>
        </w:rPr>
        <w:t>(Pelaj, 2016)</w:t>
      </w:r>
      <w:r>
        <w:t xml:space="preserve">. Zu den klassischen Symptomen gehört die B-Symptomatik, bestehend aus Fieber, Nachtschweiß und ungewollten Gewichtsverlust. Das </w:t>
      </w:r>
      <w:r w:rsidRPr="0093327E">
        <w:t>Urothelkarzinom</w:t>
      </w:r>
      <w:r>
        <w:t xml:space="preserve"> macht den Großteil der Blasentumore aus, ist jedoch nicht gleichzusetzen mit einem Blasenkrebs, da es nicht nur in der Blase, sondern im gesamten Bereich der ableitenden Harnwege, welche mit Urothel ausgekleidet sind, entstehen kann. Das Urothelkarzinom tritt oft an verschiedenen Stellen der Blase wie auch der ableitenden Harnwege gleichzeitig auf </w:t>
      </w:r>
      <w:r>
        <w:rPr>
          <w:noProof/>
        </w:rPr>
        <w:t>(Lopez-Beltran and Cheng, 2006)</w:t>
      </w:r>
      <w:r>
        <w:t xml:space="preserve"> </w:t>
      </w:r>
      <w:r>
        <w:rPr>
          <w:noProof/>
        </w:rPr>
        <w:t>(Zentrum für Krebsregisterdaten, 2018)</w:t>
      </w:r>
      <w:r>
        <w:t xml:space="preserve">. In der Blase gibt es auch andere, jedoch deutlich seltenere Tumorarten, wie beispielsweise das Plattenepithelkarzinom und das Adenokarzinom </w:t>
      </w:r>
      <w:r>
        <w:rPr>
          <w:noProof/>
        </w:rPr>
        <w:t>(Lopez-Beltran and Cheng, 2006)</w:t>
      </w:r>
      <w:r>
        <w:t xml:space="preserve">. </w:t>
      </w:r>
    </w:p>
    <w:p w14:paraId="65CA9EDC" w14:textId="79FEA21B" w:rsidR="00C85902" w:rsidRDefault="00C85902" w:rsidP="00880459">
      <w:r>
        <w:t>Im Jahr 2018 gab es laut Robert-Koch-Institut 18270 Neuerkrankungen an einem invasiven Blasenkarzinom. Von den Erkrankten waren 13500 Männe</w:t>
      </w:r>
      <w:r w:rsidRPr="00CF2323">
        <w:t>r.</w:t>
      </w:r>
      <w:r>
        <w:rPr>
          <w:color w:val="FF0000"/>
        </w:rPr>
        <w:t xml:space="preserve"> </w:t>
      </w:r>
      <w:r w:rsidRPr="00C85CBC">
        <w:t xml:space="preserve">Zu dieser Anzahl </w:t>
      </w:r>
      <w:r>
        <w:t>addieren sich</w:t>
      </w:r>
      <w:r w:rsidRPr="00C85CBC">
        <w:t xml:space="preserve"> noch 12770 Personen, die an einem nicht</w:t>
      </w:r>
      <w:r>
        <w:t>-</w:t>
      </w:r>
      <w:r w:rsidRPr="00C85CBC">
        <w:t xml:space="preserve">invasiven papillären Karzinom und in-situ Tumoren der Blase erkrankt sind. </w:t>
      </w:r>
      <w:r>
        <w:t xml:space="preserve">Das mittlere Erkrankungsalter beläuft sich auf 73 bis 77 Jahre. Vor dem Hintergrund der demographischen Transition in Deutschland ist davon auszugehen, dass die Zahl der Neuerkrankungen in den nächsten Jahren weiter zunehmen wird </w:t>
      </w:r>
      <w:r>
        <w:rPr>
          <w:noProof/>
        </w:rPr>
        <w:t>(Statistischtes Bundesamt, o.J.)</w:t>
      </w:r>
      <w:r>
        <w:t xml:space="preserve"> </w:t>
      </w:r>
      <w:r>
        <w:rPr>
          <w:noProof/>
        </w:rPr>
        <w:t>(Zentrum für Krebsregisterdaten, 2018)</w:t>
      </w:r>
      <w:r>
        <w:t xml:space="preserve">. Das Urothelkarzinom ist bei </w:t>
      </w:r>
      <w:r w:rsidRPr="00305452">
        <w:t>Männern</w:t>
      </w:r>
      <w:r>
        <w:t xml:space="preserve"> die 4. und bei </w:t>
      </w:r>
      <w:r w:rsidRPr="00305452">
        <w:t>Frauen</w:t>
      </w:r>
      <w:r>
        <w:t xml:space="preserve"> die 12. </w:t>
      </w:r>
      <w:r w:rsidRPr="00305452">
        <w:t>häufigste Lokalisation für eine Tumorneuerkrankung</w:t>
      </w:r>
      <w:r>
        <w:t xml:space="preserve">. Es macht etwa </w:t>
      </w:r>
      <w:r w:rsidRPr="00305452">
        <w:t>5,1% aller</w:t>
      </w:r>
      <w:r>
        <w:t xml:space="preserve"> Krebserkrankungen bei Männern aus und ist somit nach dem Prostatakarzinom die häufigste Tumorart des Urogenitaltraktes. Allgemein sind Männer mehr als doppelt so häufig betroffen wie Frauen </w:t>
      </w:r>
      <w:r>
        <w:rPr>
          <w:noProof/>
        </w:rPr>
        <w:t>(Erdmann et al., 2021)</w:t>
      </w:r>
      <w:r>
        <w:t xml:space="preserve">. In </w:t>
      </w:r>
      <w:r>
        <w:fldChar w:fldCharType="begin"/>
      </w:r>
      <w:r>
        <w:instrText xml:space="preserve"> REF _Ref100310374 \h </w:instrText>
      </w:r>
      <w:r>
        <w:fldChar w:fldCharType="separate"/>
      </w:r>
      <w:r w:rsidR="00791554">
        <w:t xml:space="preserve">Tabelle </w:t>
      </w:r>
      <w:r w:rsidR="00791554">
        <w:rPr>
          <w:noProof/>
        </w:rPr>
        <w:t>1</w:t>
      </w:r>
      <w:r>
        <w:fldChar w:fldCharType="end"/>
      </w:r>
      <w:r>
        <w:t xml:space="preserve"> werden Inzidenz, Mortalität und Prävalenz des Blasenkarzinoms des Jahres 2014 denen des Jahres 2018 gegenübergestellt. Seit dem Ende der 1990er Jahre erkennt man bei Männern bei der altersstandadisierten Erkrankungs- und Sterberate einen rückläufigen Trend </w:t>
      </w:r>
      <w:r>
        <w:rPr>
          <w:noProof/>
        </w:rPr>
        <w:t>(Erdmann et al., 2021)</w:t>
      </w:r>
      <w:r>
        <w:t xml:space="preserve">. Dies ist wahrscheinlich auf die Verringerung des Konsums von Tabak seit den 1980er Jahren und möglicherweise auf eine geringere berufliche Exposition gegenüber krebserregenden Stoffen zurückzuführen. Bei Frauen sind die Zahlen der Neuerkrankungen und die der Prävalenz seit dem Ende der 1990er Jahre im Vergleich zu den Männern deutlich niedriger und relativ konstant </w:t>
      </w:r>
      <w:r>
        <w:rPr>
          <w:noProof/>
        </w:rPr>
        <w:t>(Zentrum für Krebsregisterdaten, 2018, Bundesgesundheitsministerium, o.J., Erdmann et al., 2021)</w:t>
      </w:r>
      <w:r>
        <w:t xml:space="preserve">.  </w:t>
      </w:r>
    </w:p>
    <w:p w14:paraId="293D5E20" w14:textId="77777777" w:rsidR="00C85902" w:rsidRDefault="00C85902" w:rsidP="00880459">
      <w:r>
        <w:t xml:space="preserve">Zu den Risikofaktoren des Blasenkarzinoms gehören das männliche Geschlecht und ein höheres Lebensalter und insbesondere sowohl das aktive wie auch das passive Rauchen </w:t>
      </w:r>
      <w:r>
        <w:rPr>
          <w:noProof/>
        </w:rPr>
        <w:t>(International Agency for Research on Cancer (IARC) Working Group, 2004)</w:t>
      </w:r>
      <w:r>
        <w:t xml:space="preserve">. Aber auch aromatische Amine, welche in Pestiziden, Zigarettenrauch, Dieselabgasen und Haarfärbemitteln vorkommen und teilweise in der Gummi- und Farbenindustrie genutzt werden, erhöhen das Risiko </w:t>
      </w:r>
      <w:r>
        <w:rPr>
          <w:noProof/>
        </w:rPr>
        <w:t>(Claude et al., 1988, Pesch et al., 2000, Vlaanderen et al., 2013)</w:t>
      </w:r>
      <w:r>
        <w:t xml:space="preserve">. Hinzu kommen Risiken durch Chlor und Arsen im Trinkwasser sowie durch eingenommene Zytostatika und/oder Radiotherapien im Bereich der Harnblase oder chronische Infektionen und Entzündungen der Blase </w:t>
      </w:r>
      <w:r>
        <w:rPr>
          <w:noProof/>
        </w:rPr>
        <w:t>(Kunze et al., 1992, Kjaer et al., 1989, Chaturvedi et al., 2007)</w:t>
      </w:r>
      <w:r>
        <w:t xml:space="preserve">. Pioglitazon, ein als Antidiabetikum eingesetztes Arzneimittel, steht ebenfalls im Verdacht, Blasenkrebs auszulösen </w:t>
      </w:r>
      <w:r>
        <w:rPr>
          <w:noProof/>
        </w:rPr>
        <w:t>(Zentrum für Krebsregisterdaten, 2018, Azoulay et al., 2012, American Cancer Society, o.J.)</w:t>
      </w:r>
      <w:r>
        <w:t xml:space="preserve">. </w:t>
      </w:r>
    </w:p>
    <w:p w14:paraId="3250C34C" w14:textId="67919504" w:rsidR="00C85902" w:rsidRPr="002F6D8E" w:rsidRDefault="00C85902" w:rsidP="00651B6E">
      <w:pPr>
        <w:pStyle w:val="Beschriftung"/>
        <w:keepNext/>
        <w:rPr>
          <w:noProof/>
          <w:vanish/>
          <w:specVanish/>
        </w:rPr>
      </w:pPr>
      <w:bookmarkStart w:id="8" w:name="_Ref100310374"/>
      <w:bookmarkStart w:id="9" w:name="_Toc120649843"/>
      <w:r>
        <w:t xml:space="preserve">Tabelle </w:t>
      </w:r>
      <w:r>
        <w:fldChar w:fldCharType="begin"/>
      </w:r>
      <w:r>
        <w:instrText xml:space="preserve"> SEQ Tabelle \* ARABIC </w:instrText>
      </w:r>
      <w:r>
        <w:fldChar w:fldCharType="separate"/>
      </w:r>
      <w:r w:rsidR="00791554">
        <w:rPr>
          <w:noProof/>
        </w:rPr>
        <w:t>1</w:t>
      </w:r>
      <w:r>
        <w:rPr>
          <w:noProof/>
        </w:rPr>
        <w:fldChar w:fldCharType="end"/>
      </w:r>
      <w:bookmarkEnd w:id="8"/>
      <w:r>
        <w:t xml:space="preserve"> Vergleich der Inzidenz, Mortalität und Prävalenz des Blasenkarzinoms </w:t>
      </w:r>
      <w:r>
        <w:rPr>
          <w:noProof/>
        </w:rPr>
        <w:t>2013 und 2018</w:t>
      </w:r>
      <w:bookmarkEnd w:id="9"/>
      <w:r>
        <w:rPr>
          <w:noProof/>
        </w:rPr>
        <w:t xml:space="preserve"> </w:t>
      </w:r>
    </w:p>
    <w:p w14:paraId="5F6113FF" w14:textId="77777777" w:rsidR="00C85902" w:rsidRDefault="00C85902" w:rsidP="00651B6E">
      <w:pPr>
        <w:pStyle w:val="Beschriftung"/>
        <w:keepNext/>
      </w:pPr>
      <w:r>
        <w:rPr>
          <w:noProof/>
        </w:rPr>
        <w:t xml:space="preserve"> </w:t>
      </w:r>
      <w:r>
        <w:rPr>
          <w:noProof/>
        </w:rPr>
        <w:br/>
        <w:t xml:space="preserve">Die Tabelle vergleicht die geschlechter spezifischen Zahlen der Neuerkrankungen, der Sterbefälle und der Prävalenz nach 5 Jahren von Blasenkrebs im Jahr 2013 mit den Zahlen im Jahr 2018. </w:t>
      </w:r>
    </w:p>
    <w:tbl>
      <w:tblPr>
        <w:tblStyle w:val="Tabellenraster"/>
        <w:tblW w:w="0" w:type="auto"/>
        <w:tblLook w:val="04A0" w:firstRow="1" w:lastRow="0" w:firstColumn="1" w:lastColumn="0" w:noHBand="0" w:noVBand="1"/>
      </w:tblPr>
      <w:tblGrid>
        <w:gridCol w:w="2262"/>
        <w:gridCol w:w="1561"/>
        <w:gridCol w:w="1418"/>
        <w:gridCol w:w="1558"/>
        <w:gridCol w:w="1695"/>
      </w:tblGrid>
      <w:tr w:rsidR="00C85902" w14:paraId="75EB395E" w14:textId="77777777" w:rsidTr="002951F8">
        <w:trPr>
          <w:trHeight w:val="227"/>
        </w:trPr>
        <w:tc>
          <w:tcPr>
            <w:tcW w:w="2262" w:type="dxa"/>
            <w:vMerge w:val="restart"/>
          </w:tcPr>
          <w:p w14:paraId="2A49123A" w14:textId="77777777" w:rsidR="00C85902" w:rsidRDefault="00C85902" w:rsidP="00880459"/>
        </w:tc>
        <w:tc>
          <w:tcPr>
            <w:tcW w:w="2979" w:type="dxa"/>
            <w:gridSpan w:val="2"/>
          </w:tcPr>
          <w:p w14:paraId="504D06D2" w14:textId="77777777" w:rsidR="00C85902" w:rsidRPr="00161827" w:rsidRDefault="00C85902" w:rsidP="00161827">
            <w:pPr>
              <w:jc w:val="center"/>
              <w:rPr>
                <w:b/>
                <w:bCs/>
              </w:rPr>
            </w:pPr>
            <w:r w:rsidRPr="00161827">
              <w:rPr>
                <w:b/>
                <w:bCs/>
              </w:rPr>
              <w:t>201</w:t>
            </w:r>
            <w:r>
              <w:rPr>
                <w:b/>
                <w:bCs/>
              </w:rPr>
              <w:t xml:space="preserve">4 </w:t>
            </w:r>
            <w:r>
              <w:rPr>
                <w:noProof/>
              </w:rPr>
              <w:t>(Robert Koch-Institut, 2017)</w:t>
            </w:r>
          </w:p>
        </w:tc>
        <w:tc>
          <w:tcPr>
            <w:tcW w:w="3253" w:type="dxa"/>
            <w:gridSpan w:val="2"/>
          </w:tcPr>
          <w:p w14:paraId="360B98A1" w14:textId="77777777" w:rsidR="00C85902" w:rsidRPr="00161827" w:rsidRDefault="00C85902" w:rsidP="00161827">
            <w:pPr>
              <w:jc w:val="center"/>
              <w:rPr>
                <w:b/>
                <w:bCs/>
              </w:rPr>
            </w:pPr>
            <w:r w:rsidRPr="00161827">
              <w:rPr>
                <w:b/>
                <w:bCs/>
              </w:rPr>
              <w:t>2018</w:t>
            </w:r>
            <w:r>
              <w:rPr>
                <w:b/>
                <w:bCs/>
              </w:rPr>
              <w:t xml:space="preserve"> </w:t>
            </w:r>
            <w:r>
              <w:rPr>
                <w:noProof/>
              </w:rPr>
              <w:t>(Erdmann et al., 2021)</w:t>
            </w:r>
          </w:p>
        </w:tc>
      </w:tr>
      <w:tr w:rsidR="00C85902" w14:paraId="0FF1C0F9" w14:textId="77777777" w:rsidTr="002951F8">
        <w:trPr>
          <w:trHeight w:val="227"/>
        </w:trPr>
        <w:tc>
          <w:tcPr>
            <w:tcW w:w="2262" w:type="dxa"/>
            <w:vMerge/>
          </w:tcPr>
          <w:p w14:paraId="5C04C608" w14:textId="77777777" w:rsidR="00C85902" w:rsidRDefault="00C85902" w:rsidP="00880459"/>
        </w:tc>
        <w:tc>
          <w:tcPr>
            <w:tcW w:w="1561" w:type="dxa"/>
            <w:shd w:val="clear" w:color="auto" w:fill="D9D9D9" w:themeFill="background1" w:themeFillShade="D9"/>
          </w:tcPr>
          <w:p w14:paraId="3E2DF68D" w14:textId="77777777" w:rsidR="00C85902" w:rsidRPr="00161827" w:rsidRDefault="00C85902" w:rsidP="00161827">
            <w:pPr>
              <w:jc w:val="center"/>
              <w:rPr>
                <w:b/>
                <w:bCs/>
              </w:rPr>
            </w:pPr>
            <w:r w:rsidRPr="00161827">
              <w:rPr>
                <w:b/>
                <w:bCs/>
              </w:rPr>
              <w:t>Männer</w:t>
            </w:r>
          </w:p>
        </w:tc>
        <w:tc>
          <w:tcPr>
            <w:tcW w:w="1418" w:type="dxa"/>
          </w:tcPr>
          <w:p w14:paraId="04584A4E" w14:textId="77777777" w:rsidR="00C85902" w:rsidRPr="00161827" w:rsidRDefault="00C85902" w:rsidP="00161827">
            <w:pPr>
              <w:jc w:val="center"/>
              <w:rPr>
                <w:b/>
                <w:bCs/>
              </w:rPr>
            </w:pPr>
            <w:r w:rsidRPr="00161827">
              <w:rPr>
                <w:b/>
                <w:bCs/>
              </w:rPr>
              <w:t>Frauen</w:t>
            </w:r>
          </w:p>
        </w:tc>
        <w:tc>
          <w:tcPr>
            <w:tcW w:w="1558" w:type="dxa"/>
            <w:shd w:val="clear" w:color="auto" w:fill="D9D9D9" w:themeFill="background1" w:themeFillShade="D9"/>
          </w:tcPr>
          <w:p w14:paraId="4A2745F6" w14:textId="77777777" w:rsidR="00C85902" w:rsidRPr="00161827" w:rsidRDefault="00C85902" w:rsidP="00977E49">
            <w:pPr>
              <w:tabs>
                <w:tab w:val="left" w:pos="233"/>
                <w:tab w:val="center" w:pos="741"/>
              </w:tabs>
              <w:rPr>
                <w:b/>
                <w:bCs/>
              </w:rPr>
            </w:pPr>
            <w:r>
              <w:rPr>
                <w:b/>
                <w:bCs/>
              </w:rPr>
              <w:tab/>
            </w:r>
            <w:r w:rsidRPr="00977E49">
              <w:rPr>
                <w:b/>
                <w:bCs/>
                <w:shd w:val="clear" w:color="auto" w:fill="D9D9D9" w:themeFill="background1" w:themeFillShade="D9"/>
              </w:rPr>
              <w:tab/>
              <w:t>Männer</w:t>
            </w:r>
          </w:p>
        </w:tc>
        <w:tc>
          <w:tcPr>
            <w:tcW w:w="1695" w:type="dxa"/>
          </w:tcPr>
          <w:p w14:paraId="5FB3CDF9" w14:textId="77777777" w:rsidR="00C85902" w:rsidRPr="00161827" w:rsidRDefault="00C85902" w:rsidP="00161827">
            <w:pPr>
              <w:jc w:val="center"/>
              <w:rPr>
                <w:b/>
                <w:bCs/>
              </w:rPr>
            </w:pPr>
            <w:r w:rsidRPr="00161827">
              <w:rPr>
                <w:b/>
                <w:bCs/>
              </w:rPr>
              <w:t>Frauen</w:t>
            </w:r>
          </w:p>
        </w:tc>
      </w:tr>
      <w:tr w:rsidR="00C85902" w14:paraId="314E1797" w14:textId="77777777" w:rsidTr="002951F8">
        <w:trPr>
          <w:trHeight w:val="227"/>
        </w:trPr>
        <w:tc>
          <w:tcPr>
            <w:tcW w:w="2262" w:type="dxa"/>
            <w:vMerge w:val="restart"/>
          </w:tcPr>
          <w:p w14:paraId="4884B911" w14:textId="77777777" w:rsidR="00C85902" w:rsidRDefault="00C85902" w:rsidP="00880459">
            <w:pPr>
              <w:rPr>
                <w:b/>
                <w:bCs/>
              </w:rPr>
            </w:pPr>
            <w:r>
              <w:rPr>
                <w:b/>
                <w:bCs/>
              </w:rPr>
              <w:t>Blasenkrebs</w:t>
            </w:r>
          </w:p>
          <w:p w14:paraId="26BCAC40" w14:textId="77777777" w:rsidR="00C85902" w:rsidRPr="00161827" w:rsidRDefault="00C85902" w:rsidP="00880459">
            <w:pPr>
              <w:rPr>
                <w:b/>
                <w:bCs/>
              </w:rPr>
            </w:pPr>
            <w:r w:rsidRPr="00161827">
              <w:rPr>
                <w:b/>
                <w:bCs/>
              </w:rPr>
              <w:t>Neuerkrankungen</w:t>
            </w:r>
          </w:p>
        </w:tc>
        <w:tc>
          <w:tcPr>
            <w:tcW w:w="1561" w:type="dxa"/>
            <w:shd w:val="clear" w:color="auto" w:fill="D9D9D9" w:themeFill="background1" w:themeFillShade="D9"/>
          </w:tcPr>
          <w:p w14:paraId="2F28DC62" w14:textId="77777777" w:rsidR="00C85902" w:rsidRDefault="00C85902" w:rsidP="00880459">
            <w:r>
              <w:t>11680</w:t>
            </w:r>
          </w:p>
          <w:p w14:paraId="4D9B59DE" w14:textId="77777777" w:rsidR="00C85902" w:rsidRDefault="00C85902" w:rsidP="00880459">
            <w:r>
              <w:t>bzw. 430*</w:t>
            </w:r>
          </w:p>
        </w:tc>
        <w:tc>
          <w:tcPr>
            <w:tcW w:w="1418" w:type="dxa"/>
          </w:tcPr>
          <w:p w14:paraId="5BD37150" w14:textId="77777777" w:rsidR="00C85902" w:rsidRDefault="00C85902" w:rsidP="00880459">
            <w:r>
              <w:t>4170</w:t>
            </w:r>
          </w:p>
          <w:p w14:paraId="59AEF7D5" w14:textId="77777777" w:rsidR="00C85902" w:rsidRDefault="00C85902" w:rsidP="00880459">
            <w:r>
              <w:t>bzw. 7100*</w:t>
            </w:r>
          </w:p>
        </w:tc>
        <w:tc>
          <w:tcPr>
            <w:tcW w:w="1558" w:type="dxa"/>
            <w:shd w:val="clear" w:color="auto" w:fill="D9D9D9" w:themeFill="background1" w:themeFillShade="D9"/>
          </w:tcPr>
          <w:p w14:paraId="28668431" w14:textId="77777777" w:rsidR="00C85902" w:rsidRDefault="00C85902" w:rsidP="00880459">
            <w:r>
              <w:t>13500</w:t>
            </w:r>
          </w:p>
          <w:p w14:paraId="7FEA0F28" w14:textId="77777777" w:rsidR="00C85902" w:rsidRDefault="00C85902" w:rsidP="00880459">
            <w:r>
              <w:t>bzw. 23410*</w:t>
            </w:r>
          </w:p>
        </w:tc>
        <w:tc>
          <w:tcPr>
            <w:tcW w:w="1695" w:type="dxa"/>
          </w:tcPr>
          <w:p w14:paraId="51547D0C" w14:textId="77777777" w:rsidR="00C85902" w:rsidRDefault="00C85902" w:rsidP="00880459">
            <w:r>
              <w:t>4770</w:t>
            </w:r>
            <w:r>
              <w:br/>
              <w:t>bzw. 7630*</w:t>
            </w:r>
          </w:p>
        </w:tc>
      </w:tr>
      <w:tr w:rsidR="00C85902" w14:paraId="24FF764F" w14:textId="77777777" w:rsidTr="002951F8">
        <w:trPr>
          <w:trHeight w:val="227"/>
        </w:trPr>
        <w:tc>
          <w:tcPr>
            <w:tcW w:w="2262" w:type="dxa"/>
            <w:vMerge/>
          </w:tcPr>
          <w:p w14:paraId="1BEBDAB8" w14:textId="77777777" w:rsidR="00C85902" w:rsidRPr="00161827" w:rsidRDefault="00C85902" w:rsidP="00880459">
            <w:pPr>
              <w:rPr>
                <w:b/>
                <w:bCs/>
              </w:rPr>
            </w:pPr>
          </w:p>
        </w:tc>
        <w:tc>
          <w:tcPr>
            <w:tcW w:w="6232" w:type="dxa"/>
            <w:gridSpan w:val="4"/>
            <w:shd w:val="clear" w:color="auto" w:fill="FFFFFF" w:themeFill="background1"/>
          </w:tcPr>
          <w:p w14:paraId="423276AC" w14:textId="77777777" w:rsidR="00C85902" w:rsidRDefault="00C85902" w:rsidP="00880459">
            <w:r>
              <w:t>*Die gekennzeichneten Werte ergeben sich, wenn man die in-situ Tumore und Neubildungen unsicheren oder unbekannten Verhaltens einberechnet.</w:t>
            </w:r>
          </w:p>
        </w:tc>
      </w:tr>
      <w:tr w:rsidR="00C85902" w14:paraId="39751E3B" w14:textId="77777777" w:rsidTr="002951F8">
        <w:trPr>
          <w:trHeight w:val="227"/>
        </w:trPr>
        <w:tc>
          <w:tcPr>
            <w:tcW w:w="2262" w:type="dxa"/>
          </w:tcPr>
          <w:p w14:paraId="776A75A9" w14:textId="77777777" w:rsidR="00C85902" w:rsidRPr="00161827" w:rsidRDefault="00C85902" w:rsidP="00880459">
            <w:pPr>
              <w:rPr>
                <w:b/>
                <w:bCs/>
              </w:rPr>
            </w:pPr>
            <w:r w:rsidRPr="00161827">
              <w:rPr>
                <w:b/>
                <w:bCs/>
              </w:rPr>
              <w:t>Sterbefälle</w:t>
            </w:r>
            <w:r>
              <w:rPr>
                <w:b/>
                <w:bCs/>
              </w:rPr>
              <w:t xml:space="preserve"> an Blasenkrebs</w:t>
            </w:r>
          </w:p>
        </w:tc>
        <w:tc>
          <w:tcPr>
            <w:tcW w:w="1561" w:type="dxa"/>
            <w:shd w:val="clear" w:color="auto" w:fill="D9D9D9" w:themeFill="background1" w:themeFillShade="D9"/>
          </w:tcPr>
          <w:p w14:paraId="4A30C0BE" w14:textId="77777777" w:rsidR="00C85902" w:rsidRDefault="00C85902" w:rsidP="00880459">
            <w:r>
              <w:t>3897</w:t>
            </w:r>
          </w:p>
        </w:tc>
        <w:tc>
          <w:tcPr>
            <w:tcW w:w="1418" w:type="dxa"/>
          </w:tcPr>
          <w:p w14:paraId="4B5F05AD" w14:textId="77777777" w:rsidR="00C85902" w:rsidRDefault="00C85902" w:rsidP="00880459">
            <w:r>
              <w:t>1795</w:t>
            </w:r>
          </w:p>
        </w:tc>
        <w:tc>
          <w:tcPr>
            <w:tcW w:w="1558" w:type="dxa"/>
            <w:shd w:val="clear" w:color="auto" w:fill="D9D9D9" w:themeFill="background1" w:themeFillShade="D9"/>
          </w:tcPr>
          <w:p w14:paraId="176990B9" w14:textId="77777777" w:rsidR="00C85902" w:rsidRDefault="00C85902" w:rsidP="00880459">
            <w:r>
              <w:t>3862</w:t>
            </w:r>
          </w:p>
        </w:tc>
        <w:tc>
          <w:tcPr>
            <w:tcW w:w="1695" w:type="dxa"/>
          </w:tcPr>
          <w:p w14:paraId="47E1B8A3" w14:textId="77777777" w:rsidR="00C85902" w:rsidRDefault="00C85902" w:rsidP="00880459">
            <w:r>
              <w:t>1840</w:t>
            </w:r>
          </w:p>
        </w:tc>
      </w:tr>
      <w:tr w:rsidR="00C85902" w14:paraId="71E02EE9" w14:textId="77777777" w:rsidTr="002951F8">
        <w:trPr>
          <w:trHeight w:val="227"/>
        </w:trPr>
        <w:tc>
          <w:tcPr>
            <w:tcW w:w="2262" w:type="dxa"/>
          </w:tcPr>
          <w:p w14:paraId="5D158F2E" w14:textId="77777777" w:rsidR="00C85902" w:rsidRPr="00161827" w:rsidRDefault="00C85902" w:rsidP="00880459">
            <w:pPr>
              <w:rPr>
                <w:b/>
                <w:bCs/>
              </w:rPr>
            </w:pPr>
            <w:r w:rsidRPr="00161827">
              <w:rPr>
                <w:b/>
                <w:bCs/>
              </w:rPr>
              <w:t>Prävalenz nach</w:t>
            </w:r>
            <w:r>
              <w:rPr>
                <w:b/>
                <w:bCs/>
              </w:rPr>
              <w:t xml:space="preserve"> 5</w:t>
            </w:r>
            <w:r w:rsidRPr="00161827">
              <w:rPr>
                <w:b/>
                <w:bCs/>
              </w:rPr>
              <w:t xml:space="preserve"> Jahren </w:t>
            </w:r>
          </w:p>
        </w:tc>
        <w:tc>
          <w:tcPr>
            <w:tcW w:w="1561" w:type="dxa"/>
            <w:shd w:val="clear" w:color="auto" w:fill="D9D9D9" w:themeFill="background1" w:themeFillShade="D9"/>
          </w:tcPr>
          <w:p w14:paraId="1F22B812" w14:textId="77777777" w:rsidR="00C85902" w:rsidRDefault="00C85902" w:rsidP="00880459">
            <w:r>
              <w:t>36100</w:t>
            </w:r>
          </w:p>
        </w:tc>
        <w:tc>
          <w:tcPr>
            <w:tcW w:w="1418" w:type="dxa"/>
          </w:tcPr>
          <w:p w14:paraId="11FC54A5" w14:textId="77777777" w:rsidR="00C85902" w:rsidRDefault="00C85902" w:rsidP="00880459">
            <w:r>
              <w:t>11100</w:t>
            </w:r>
          </w:p>
        </w:tc>
        <w:tc>
          <w:tcPr>
            <w:tcW w:w="1558" w:type="dxa"/>
            <w:shd w:val="clear" w:color="auto" w:fill="D9D9D9" w:themeFill="background1" w:themeFillShade="D9"/>
          </w:tcPr>
          <w:p w14:paraId="18480A12" w14:textId="77777777" w:rsidR="00C85902" w:rsidRDefault="00C85902" w:rsidP="00880459">
            <w:r>
              <w:t>60200</w:t>
            </w:r>
          </w:p>
        </w:tc>
        <w:tc>
          <w:tcPr>
            <w:tcW w:w="1695" w:type="dxa"/>
          </w:tcPr>
          <w:p w14:paraId="1EB71CFF" w14:textId="77777777" w:rsidR="00C85902" w:rsidRDefault="00C85902" w:rsidP="00880459">
            <w:r>
              <w:t>19100</w:t>
            </w:r>
          </w:p>
        </w:tc>
      </w:tr>
    </w:tbl>
    <w:p w14:paraId="40749D67" w14:textId="77777777" w:rsidR="00C85902" w:rsidRDefault="00C85902" w:rsidP="00B62E00">
      <w:pPr>
        <w:pStyle w:val="berschrift3"/>
      </w:pPr>
      <w:bookmarkStart w:id="10" w:name="_Toc121158639"/>
      <w:r>
        <w:t>Diagnostik</w:t>
      </w:r>
      <w:bookmarkEnd w:id="10"/>
      <w:r>
        <w:t xml:space="preserve"> </w:t>
      </w:r>
    </w:p>
    <w:p w14:paraId="54C73C87" w14:textId="77777777" w:rsidR="00C85902" w:rsidRDefault="00C85902" w:rsidP="00A1412D">
      <w:r>
        <w:t xml:space="preserve">Entdeckt wird das in der Mehrzahl der Fälle über lange Zeit asymptomatische Urothelkarzinom oftmals durch eine schmerzlose Mikrohämaturie, das heißt Blut im Urin </w:t>
      </w:r>
      <w:r>
        <w:rPr>
          <w:noProof/>
        </w:rPr>
        <w:t>(Wakui and Shiigai, 2000, Massey et al., 1965)</w:t>
      </w:r>
      <w:r w:rsidRPr="002A024A">
        <w:t>.</w:t>
      </w:r>
      <w:r>
        <w:t xml:space="preserve"> Außerdem kann eine Drangsymptomatik und eine Pollakisurie in 20-35% der Fälle vorliegen, welche in ca. 40% durch eine begleitende Harnwegsinfektion verursacht wird </w:t>
      </w:r>
      <w:r>
        <w:rPr>
          <w:noProof/>
        </w:rPr>
        <w:t>(Turner et al., 1977, Cox et al., 1969)</w:t>
      </w:r>
      <w:r>
        <w:t xml:space="preserve">. Differentialdiagnostisch müssen andere Blutungsursachen, wie beispielsweise Infektionen, Nieren- und Blasensteine abgeklärt werden. Beim Vorliegen einer Mikro- oder Makrohämaturie sollte zunächst eine Sonographie des oberen Harntraktes erfolgen, um einen Harnstau auszuschließen bzw. zu sichern, welcher als mögliche Folge eines lokal fortgeschrittenen Harnblasenkarzinoms aber auch bei Urolithiasis oder anderen Raumforderungen der Niere vorkommt. Eine weitere Untersuchungsmöglichkeit ist die Urinzytologie. Bei dieser erfolgt durch Zentrifugation einer frischen und möglichst zellreichen Urinprobe die Isolation und anschließende Färbung der Urothelzellen. Anschließend wird auf Malignitätskriterien wie Kernveränderungen (z.B. Größe und Form des Kerns sowie Hyperchromasie, Anisokaryose und verdickte Kernmembran) und gesteigerten Zellstoffwechsel untersucht. Diese Charakteristika können bei low-grade-Karzinomen noch sehr unauffällig sein, werden aber bei zunehmender Entdifferenzierung deutlicher </w:t>
      </w:r>
      <w:r>
        <w:rPr>
          <w:noProof/>
        </w:rPr>
        <w:t>(vom Dorp et al., 2011)</w:t>
      </w:r>
      <w:r>
        <w:t xml:space="preserve">. Hieraus ergibt sich eine niedrige Sensitivität und auch bei einem negativen Ergebnis ist kein sicherer Ausschluss eines low-grade Harnblasenkarzinoms möglich </w:t>
      </w:r>
      <w:r>
        <w:rPr>
          <w:noProof/>
        </w:rPr>
        <w:t>(Turco et al., 2011)</w:t>
      </w:r>
      <w:r>
        <w:t xml:space="preserve">. Dennoch wird die Urinzytologie als Referenzstandard bei vielen Markerstudien genutzt, da sie zwar eine niedrigere Sensitivität aber eine höhere Spezifität hat </w:t>
      </w:r>
      <w:r>
        <w:rPr>
          <w:noProof/>
        </w:rPr>
        <w:t>(Lotan and Roehrborn, 2003, van Rhijn et al., 2005)</w:t>
      </w:r>
      <w:r w:rsidRPr="00D23267">
        <w:t>.</w:t>
      </w:r>
      <w:r>
        <w:t xml:space="preserve"> Die Diagnostik des Urothelkarzinoms ist erschwert, da es über eine lange Zeit asymptomatisch sein kann und es bisher keinen etablierten Marker gibt, der in der Klinik Anwendung findet. Der Goldstandard zur Primärdiagnostik bei Verdacht auf ein Harnblasenkarzinom und dem Vorliegen zusätzlicher Risikofaktoren bleibt laut Expertenkonsens weiterhin die Weißlicht-Zystoskopie mit einem flexiblen oder einem rigiden Zystoskop </w:t>
      </w:r>
      <w:r>
        <w:rPr>
          <w:noProof/>
        </w:rPr>
        <w:t>(Jocham et al., 2008)</w:t>
      </w:r>
      <w:r>
        <w:t xml:space="preserve">. Im Rahmen dieser Untersuchung soll bei Verdacht auf ein Harnblasenkarzinom eine Gewebeprobe entnommen werden und durch den Pathologen eine histologische Sicherung erfolgen. Je nach operativem oder histologischem Befund sollte ebenfalls eine Abklärung des oberen Harntraktes erfolgen </w:t>
      </w:r>
      <w:r>
        <w:rPr>
          <w:noProof/>
        </w:rPr>
        <w:t>(Blick et al., 2012)</w:t>
      </w:r>
      <w:r>
        <w:t xml:space="preserve">. Doch auch die Weißlicht-Zytoskopie ist in ihrer Detektion limitiert und sowohl von der Größe des Tumors als auch von den Fähigkeiten des Untersuchers abhängig </w:t>
      </w:r>
      <w:r>
        <w:rPr>
          <w:noProof/>
        </w:rPr>
        <w:t>(Jocham et al., 2008)</w:t>
      </w:r>
      <w:r>
        <w:t>.</w:t>
      </w:r>
    </w:p>
    <w:p w14:paraId="7A69E526" w14:textId="77777777" w:rsidR="00C85902" w:rsidRDefault="00C85902" w:rsidP="00B62E00">
      <w:pPr>
        <w:pStyle w:val="berschrift3"/>
      </w:pPr>
      <w:bookmarkStart w:id="11" w:name="_Toc121158640"/>
      <w:r>
        <w:t>Klassifikation und Therapie von Blasenkarzinomen</w:t>
      </w:r>
      <w:bookmarkEnd w:id="11"/>
    </w:p>
    <w:p w14:paraId="4B88E867" w14:textId="660C63BC" w:rsidR="00C85902" w:rsidRDefault="00C85902" w:rsidP="00B62E00">
      <w:r>
        <w:t xml:space="preserve">Die WHO-Klassifikation der Tumore des Uro-Genitalsystems von 2004 wurde im Jahr 2016 aktualisiert </w:t>
      </w:r>
      <w:r>
        <w:rPr>
          <w:noProof/>
        </w:rPr>
        <w:t>(Moch et al., 2016)</w:t>
      </w:r>
      <w:r>
        <w:t xml:space="preserve">. Sie unterscheidet zwischen dem invasiven Urothelkarzinom und der nicht-invasiven urothelialen Läsion. Beide Gruppen können weiter unterteilt werden. Die nicht-invasiven Urothelkarzinome machen etwa 70% der primär diagnostizierten Urotheltumore aus </w:t>
      </w:r>
      <w:r>
        <w:rPr>
          <w:noProof/>
        </w:rPr>
        <w:t>(Moch et al., 2016, Leitlinienprogramm Onkologie et al., 2020)</w:t>
      </w:r>
      <w:r>
        <w:t xml:space="preserve">. </w:t>
      </w:r>
    </w:p>
    <w:p w14:paraId="5034541A" w14:textId="0786421D" w:rsidR="00C85902" w:rsidRDefault="00C85902" w:rsidP="00B62E00">
      <w:r>
        <w:t xml:space="preserve">Die TNM-Klassifikation, welche von der UICC (Union for International Cancer Control) seit mehr als 50 Jahren veröffentlicht wird, dient der Klassifizierung der Größe und Ausdehnung von Krebserkrankungen. Diese Klassifikation ist wegweisend für die Einteilung in Tumorstadien und damit auch für die angemessene Behandlung und die Prognose. Außerdem erleichtert sie den Informationsaustausch zwischen unterschiedlichen Zentren und hilft auch dabei, Behandlungsergebnisse zu evaluieren. Das „T“ der Klassifikation steht für die Lokalisation und Größe des Primärtumors, das „N“ für lokalen Lymphknotenbefall und „M“ für (Fern-)Metastasen </w:t>
      </w:r>
      <w:r>
        <w:rPr>
          <w:noProof/>
        </w:rPr>
        <w:t>(Union for International Cancer Control)</w:t>
      </w:r>
      <w:r>
        <w:t xml:space="preserve">. Die T-Kategorie des TNM kann für die klinische Stadieneinteilung in nicht-muskelinvasives Harnblasenkarzinom: pTis, pTa, pT1 und muskelinvasives Harnblasenkarzinom: </w:t>
      </w:r>
      <w:r>
        <w:rPr>
          <w:rFonts w:cs="Arial"/>
        </w:rPr>
        <w:t xml:space="preserve">≥ </w:t>
      </w:r>
      <w:r>
        <w:t xml:space="preserve">pT2 genutzt werden. Die detaillierte TNM der Urothelkarzinome der Harnblase ist in </w:t>
      </w:r>
      <w:r>
        <w:fldChar w:fldCharType="begin"/>
      </w:r>
      <w:r>
        <w:instrText xml:space="preserve"> REF _Ref116921831 \h </w:instrText>
      </w:r>
      <w:r>
        <w:fldChar w:fldCharType="separate"/>
      </w:r>
      <w:r w:rsidR="00791554">
        <w:t xml:space="preserve">Abbildung </w:t>
      </w:r>
      <w:r w:rsidR="00791554">
        <w:rPr>
          <w:noProof/>
        </w:rPr>
        <w:t>2</w:t>
      </w:r>
      <w:r>
        <w:fldChar w:fldCharType="end"/>
      </w:r>
      <w:r>
        <w:t xml:space="preserve"> dargestellt. Die sich aus diesem System ergebende und etablierte Stadieneinteilung des Harnblasenkarzinoms ist in </w:t>
      </w:r>
      <w:r>
        <w:fldChar w:fldCharType="begin"/>
      </w:r>
      <w:r>
        <w:instrText xml:space="preserve"> REF _Ref120293704 \h </w:instrText>
      </w:r>
      <w:r>
        <w:fldChar w:fldCharType="separate"/>
      </w:r>
      <w:r w:rsidR="00791554">
        <w:t xml:space="preserve">Tabelle </w:t>
      </w:r>
      <w:r w:rsidR="00791554">
        <w:rPr>
          <w:noProof/>
        </w:rPr>
        <w:t>2</w:t>
      </w:r>
      <w:r>
        <w:fldChar w:fldCharType="end"/>
      </w:r>
      <w:r>
        <w:t xml:space="preserve"> aufgelistet </w:t>
      </w:r>
      <w:r>
        <w:rPr>
          <w:noProof/>
        </w:rPr>
        <w:t>(Union for International Cancer Control)</w:t>
      </w:r>
      <w:r>
        <w:t xml:space="preserve">. </w:t>
      </w:r>
    </w:p>
    <w:p w14:paraId="028B3E7E" w14:textId="6F8D90A8" w:rsidR="00C85902" w:rsidRPr="007F4EE7" w:rsidRDefault="00C85902" w:rsidP="002904A8">
      <w:pPr>
        <w:pStyle w:val="Beschriftung"/>
        <w:keepNext/>
        <w:rPr>
          <w:vanish/>
          <w:specVanish/>
        </w:rPr>
      </w:pPr>
      <w:bookmarkStart w:id="12" w:name="_Ref120293704"/>
      <w:bookmarkStart w:id="13" w:name="_Ref120293702"/>
      <w:bookmarkStart w:id="14" w:name="_Toc120649844"/>
      <w:r>
        <w:t xml:space="preserve">Tabelle </w:t>
      </w:r>
      <w:r>
        <w:fldChar w:fldCharType="begin"/>
      </w:r>
      <w:r>
        <w:instrText xml:space="preserve"> SEQ Tabelle \* ARABIC </w:instrText>
      </w:r>
      <w:r>
        <w:fldChar w:fldCharType="separate"/>
      </w:r>
      <w:r w:rsidR="00791554">
        <w:rPr>
          <w:noProof/>
        </w:rPr>
        <w:t>2</w:t>
      </w:r>
      <w:r>
        <w:rPr>
          <w:noProof/>
        </w:rPr>
        <w:fldChar w:fldCharType="end"/>
      </w:r>
      <w:bookmarkEnd w:id="12"/>
      <w:r>
        <w:t xml:space="preserve"> </w:t>
      </w:r>
      <w:r w:rsidRPr="006B0065">
        <w:t>UICC Stadieneinteilung der Harnblasenkarzinome</w:t>
      </w:r>
      <w:bookmarkEnd w:id="13"/>
      <w:bookmarkEnd w:id="14"/>
      <w:r>
        <w:t xml:space="preserve"> </w:t>
      </w:r>
    </w:p>
    <w:p w14:paraId="32E92178" w14:textId="77777777" w:rsidR="00C85902" w:rsidRDefault="00C85902" w:rsidP="002904A8">
      <w:pPr>
        <w:pStyle w:val="Beschriftung"/>
        <w:keepNext/>
      </w:pPr>
      <w:r>
        <w:t xml:space="preserve"> </w:t>
      </w:r>
      <w:r>
        <w:br/>
        <w:t>Die Tabelle zeigt die UICC (Union International für Cancer Control) Einteilung von Blasenkrebs.</w:t>
      </w:r>
    </w:p>
    <w:tbl>
      <w:tblPr>
        <w:tblStyle w:val="EinfacheTabelle1"/>
        <w:tblW w:w="0" w:type="auto"/>
        <w:tblLook w:val="04A0" w:firstRow="1" w:lastRow="0" w:firstColumn="1" w:lastColumn="0" w:noHBand="0" w:noVBand="1"/>
      </w:tblPr>
      <w:tblGrid>
        <w:gridCol w:w="2123"/>
        <w:gridCol w:w="2123"/>
        <w:gridCol w:w="2124"/>
        <w:gridCol w:w="2124"/>
      </w:tblGrid>
      <w:tr w:rsidR="00C85902" w14:paraId="62590ED0" w14:textId="77777777" w:rsidTr="00895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34B5CD31"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0a</w:t>
            </w:r>
          </w:p>
        </w:tc>
        <w:tc>
          <w:tcPr>
            <w:tcW w:w="2123" w:type="dxa"/>
          </w:tcPr>
          <w:p w14:paraId="3D8D9E0D" w14:textId="77777777" w:rsidR="00C85902" w:rsidRPr="002904A8" w:rsidRDefault="00C85902" w:rsidP="002904A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904A8">
              <w:rPr>
                <w:sz w:val="20"/>
                <w:szCs w:val="20"/>
              </w:rPr>
              <w:t>Ta</w:t>
            </w:r>
          </w:p>
        </w:tc>
        <w:tc>
          <w:tcPr>
            <w:tcW w:w="2124" w:type="dxa"/>
          </w:tcPr>
          <w:p w14:paraId="7CF53CF9" w14:textId="77777777" w:rsidR="00C85902" w:rsidRPr="002904A8" w:rsidRDefault="00C85902" w:rsidP="002904A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904A8">
              <w:rPr>
                <w:sz w:val="20"/>
                <w:szCs w:val="20"/>
              </w:rPr>
              <w:t>N0</w:t>
            </w:r>
          </w:p>
        </w:tc>
        <w:tc>
          <w:tcPr>
            <w:tcW w:w="2124" w:type="dxa"/>
          </w:tcPr>
          <w:p w14:paraId="67311E02" w14:textId="77777777" w:rsidR="00C85902" w:rsidRPr="002904A8" w:rsidRDefault="00C85902" w:rsidP="002904A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904A8">
              <w:rPr>
                <w:sz w:val="20"/>
                <w:szCs w:val="20"/>
              </w:rPr>
              <w:t>M0</w:t>
            </w:r>
          </w:p>
        </w:tc>
      </w:tr>
      <w:tr w:rsidR="00C85902" w14:paraId="2696AA2E" w14:textId="77777777" w:rsidTr="0089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0D9A2479"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0is</w:t>
            </w:r>
          </w:p>
        </w:tc>
        <w:tc>
          <w:tcPr>
            <w:tcW w:w="2123" w:type="dxa"/>
          </w:tcPr>
          <w:p w14:paraId="6D75E070"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Tis</w:t>
            </w:r>
          </w:p>
        </w:tc>
        <w:tc>
          <w:tcPr>
            <w:tcW w:w="2124" w:type="dxa"/>
          </w:tcPr>
          <w:p w14:paraId="5E302883"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N0</w:t>
            </w:r>
          </w:p>
        </w:tc>
        <w:tc>
          <w:tcPr>
            <w:tcW w:w="2124" w:type="dxa"/>
          </w:tcPr>
          <w:p w14:paraId="788F254B"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M0</w:t>
            </w:r>
          </w:p>
        </w:tc>
      </w:tr>
      <w:tr w:rsidR="00C85902" w14:paraId="4F2B8652" w14:textId="77777777" w:rsidTr="008950D2">
        <w:tc>
          <w:tcPr>
            <w:cnfStyle w:val="001000000000" w:firstRow="0" w:lastRow="0" w:firstColumn="1" w:lastColumn="0" w:oddVBand="0" w:evenVBand="0" w:oddHBand="0" w:evenHBand="0" w:firstRowFirstColumn="0" w:firstRowLastColumn="0" w:lastRowFirstColumn="0" w:lastRowLastColumn="0"/>
            <w:tcW w:w="2123" w:type="dxa"/>
          </w:tcPr>
          <w:p w14:paraId="7D0B6AF8"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I</w:t>
            </w:r>
          </w:p>
        </w:tc>
        <w:tc>
          <w:tcPr>
            <w:tcW w:w="2123" w:type="dxa"/>
          </w:tcPr>
          <w:p w14:paraId="3A139824"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T1</w:t>
            </w:r>
          </w:p>
        </w:tc>
        <w:tc>
          <w:tcPr>
            <w:tcW w:w="2124" w:type="dxa"/>
          </w:tcPr>
          <w:p w14:paraId="1CC07439"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N0</w:t>
            </w:r>
          </w:p>
        </w:tc>
        <w:tc>
          <w:tcPr>
            <w:tcW w:w="2124" w:type="dxa"/>
          </w:tcPr>
          <w:p w14:paraId="1E376BB3"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M0</w:t>
            </w:r>
          </w:p>
        </w:tc>
      </w:tr>
      <w:tr w:rsidR="00C85902" w14:paraId="24BDE232" w14:textId="77777777" w:rsidTr="0089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53CCDEE4"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II</w:t>
            </w:r>
          </w:p>
        </w:tc>
        <w:tc>
          <w:tcPr>
            <w:tcW w:w="2123" w:type="dxa"/>
          </w:tcPr>
          <w:p w14:paraId="758FA844"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T2a, T2b</w:t>
            </w:r>
          </w:p>
        </w:tc>
        <w:tc>
          <w:tcPr>
            <w:tcW w:w="2124" w:type="dxa"/>
          </w:tcPr>
          <w:p w14:paraId="233737EF"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N0</w:t>
            </w:r>
          </w:p>
        </w:tc>
        <w:tc>
          <w:tcPr>
            <w:tcW w:w="2124" w:type="dxa"/>
          </w:tcPr>
          <w:p w14:paraId="18698FC9"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M0</w:t>
            </w:r>
          </w:p>
        </w:tc>
      </w:tr>
      <w:tr w:rsidR="00C85902" w14:paraId="0A6528E6" w14:textId="77777777" w:rsidTr="008950D2">
        <w:tc>
          <w:tcPr>
            <w:cnfStyle w:val="001000000000" w:firstRow="0" w:lastRow="0" w:firstColumn="1" w:lastColumn="0" w:oddVBand="0" w:evenVBand="0" w:oddHBand="0" w:evenHBand="0" w:firstRowFirstColumn="0" w:firstRowLastColumn="0" w:lastRowFirstColumn="0" w:lastRowLastColumn="0"/>
            <w:tcW w:w="2123" w:type="dxa"/>
            <w:vMerge w:val="restart"/>
          </w:tcPr>
          <w:p w14:paraId="239B5947"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IIIA</w:t>
            </w:r>
          </w:p>
        </w:tc>
        <w:tc>
          <w:tcPr>
            <w:tcW w:w="2123" w:type="dxa"/>
          </w:tcPr>
          <w:p w14:paraId="19BCCCB7"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T3a, T3b, T4a</w:t>
            </w:r>
          </w:p>
        </w:tc>
        <w:tc>
          <w:tcPr>
            <w:tcW w:w="2124" w:type="dxa"/>
          </w:tcPr>
          <w:p w14:paraId="7B064CBD"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N0</w:t>
            </w:r>
          </w:p>
        </w:tc>
        <w:tc>
          <w:tcPr>
            <w:tcW w:w="2124" w:type="dxa"/>
          </w:tcPr>
          <w:p w14:paraId="3BBADAB5"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M0</w:t>
            </w:r>
          </w:p>
        </w:tc>
      </w:tr>
      <w:tr w:rsidR="00C85902" w14:paraId="53F78817" w14:textId="77777777" w:rsidTr="0089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65DEBC8B" w14:textId="77777777" w:rsidR="00C85902" w:rsidRPr="002904A8" w:rsidRDefault="00C85902" w:rsidP="002904A8">
            <w:pPr>
              <w:spacing w:line="240" w:lineRule="auto"/>
              <w:jc w:val="right"/>
              <w:rPr>
                <w:b w:val="0"/>
                <w:bCs w:val="0"/>
                <w:sz w:val="20"/>
                <w:szCs w:val="20"/>
              </w:rPr>
            </w:pPr>
          </w:p>
        </w:tc>
        <w:tc>
          <w:tcPr>
            <w:tcW w:w="2123" w:type="dxa"/>
          </w:tcPr>
          <w:p w14:paraId="2CF41B28"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T1, T2, T3, T4a</w:t>
            </w:r>
          </w:p>
        </w:tc>
        <w:tc>
          <w:tcPr>
            <w:tcW w:w="2124" w:type="dxa"/>
          </w:tcPr>
          <w:p w14:paraId="2BC28E45"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N1</w:t>
            </w:r>
          </w:p>
        </w:tc>
        <w:tc>
          <w:tcPr>
            <w:tcW w:w="2124" w:type="dxa"/>
          </w:tcPr>
          <w:p w14:paraId="61D8C482"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M0</w:t>
            </w:r>
          </w:p>
        </w:tc>
      </w:tr>
      <w:tr w:rsidR="00C85902" w14:paraId="2F8B070A" w14:textId="77777777" w:rsidTr="008950D2">
        <w:tc>
          <w:tcPr>
            <w:cnfStyle w:val="001000000000" w:firstRow="0" w:lastRow="0" w:firstColumn="1" w:lastColumn="0" w:oddVBand="0" w:evenVBand="0" w:oddHBand="0" w:evenHBand="0" w:firstRowFirstColumn="0" w:firstRowLastColumn="0" w:lastRowFirstColumn="0" w:lastRowLastColumn="0"/>
            <w:tcW w:w="2123" w:type="dxa"/>
          </w:tcPr>
          <w:p w14:paraId="5A2CC487"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IIIB</w:t>
            </w:r>
          </w:p>
        </w:tc>
        <w:tc>
          <w:tcPr>
            <w:tcW w:w="2123" w:type="dxa"/>
          </w:tcPr>
          <w:p w14:paraId="027C57A6"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T1, T2, T3, T4a</w:t>
            </w:r>
          </w:p>
        </w:tc>
        <w:tc>
          <w:tcPr>
            <w:tcW w:w="2124" w:type="dxa"/>
          </w:tcPr>
          <w:p w14:paraId="773B1E4B"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N2, N3</w:t>
            </w:r>
          </w:p>
        </w:tc>
        <w:tc>
          <w:tcPr>
            <w:tcW w:w="2124" w:type="dxa"/>
          </w:tcPr>
          <w:p w14:paraId="32061CC9"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M0</w:t>
            </w:r>
          </w:p>
        </w:tc>
      </w:tr>
      <w:tr w:rsidR="00C85902" w14:paraId="6ACA9FE9" w14:textId="77777777" w:rsidTr="0089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val="restart"/>
          </w:tcPr>
          <w:p w14:paraId="0399D112"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IVA</w:t>
            </w:r>
          </w:p>
        </w:tc>
        <w:tc>
          <w:tcPr>
            <w:tcW w:w="2123" w:type="dxa"/>
          </w:tcPr>
          <w:p w14:paraId="3EF64920"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T4b</w:t>
            </w:r>
          </w:p>
        </w:tc>
        <w:tc>
          <w:tcPr>
            <w:tcW w:w="2124" w:type="dxa"/>
          </w:tcPr>
          <w:p w14:paraId="09602333"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Jedes N</w:t>
            </w:r>
          </w:p>
        </w:tc>
        <w:tc>
          <w:tcPr>
            <w:tcW w:w="2124" w:type="dxa"/>
          </w:tcPr>
          <w:p w14:paraId="48331572"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M0</w:t>
            </w:r>
          </w:p>
        </w:tc>
      </w:tr>
      <w:tr w:rsidR="00C85902" w14:paraId="171096B9" w14:textId="77777777" w:rsidTr="008950D2">
        <w:tc>
          <w:tcPr>
            <w:cnfStyle w:val="001000000000" w:firstRow="0" w:lastRow="0" w:firstColumn="1" w:lastColumn="0" w:oddVBand="0" w:evenVBand="0" w:oddHBand="0" w:evenHBand="0" w:firstRowFirstColumn="0" w:firstRowLastColumn="0" w:lastRowFirstColumn="0" w:lastRowLastColumn="0"/>
            <w:tcW w:w="2123" w:type="dxa"/>
            <w:vMerge/>
          </w:tcPr>
          <w:p w14:paraId="7A65A441" w14:textId="77777777" w:rsidR="00C85902" w:rsidRPr="002904A8" w:rsidRDefault="00C85902" w:rsidP="002904A8">
            <w:pPr>
              <w:spacing w:line="240" w:lineRule="auto"/>
              <w:jc w:val="right"/>
              <w:rPr>
                <w:b w:val="0"/>
                <w:bCs w:val="0"/>
                <w:sz w:val="20"/>
                <w:szCs w:val="20"/>
              </w:rPr>
            </w:pPr>
          </w:p>
        </w:tc>
        <w:tc>
          <w:tcPr>
            <w:tcW w:w="2123" w:type="dxa"/>
          </w:tcPr>
          <w:p w14:paraId="285B4022"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Jedes T</w:t>
            </w:r>
          </w:p>
        </w:tc>
        <w:tc>
          <w:tcPr>
            <w:tcW w:w="2124" w:type="dxa"/>
          </w:tcPr>
          <w:p w14:paraId="4FB82F31"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Jedes N</w:t>
            </w:r>
          </w:p>
        </w:tc>
        <w:tc>
          <w:tcPr>
            <w:tcW w:w="2124" w:type="dxa"/>
          </w:tcPr>
          <w:p w14:paraId="67F758A5" w14:textId="77777777" w:rsidR="00C85902" w:rsidRPr="002904A8" w:rsidRDefault="00C85902" w:rsidP="002904A8">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904A8">
              <w:rPr>
                <w:sz w:val="20"/>
                <w:szCs w:val="20"/>
              </w:rPr>
              <w:t>M1a</w:t>
            </w:r>
          </w:p>
        </w:tc>
      </w:tr>
      <w:tr w:rsidR="00C85902" w14:paraId="60DCCF64" w14:textId="77777777" w:rsidTr="0089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272F672" w14:textId="77777777" w:rsidR="00C85902" w:rsidRPr="002904A8" w:rsidRDefault="00C85902" w:rsidP="002904A8">
            <w:pPr>
              <w:spacing w:line="240" w:lineRule="auto"/>
              <w:jc w:val="right"/>
              <w:rPr>
                <w:b w:val="0"/>
                <w:bCs w:val="0"/>
                <w:sz w:val="20"/>
                <w:szCs w:val="20"/>
              </w:rPr>
            </w:pPr>
            <w:r w:rsidRPr="002904A8">
              <w:rPr>
                <w:b w:val="0"/>
                <w:bCs w:val="0"/>
                <w:sz w:val="20"/>
                <w:szCs w:val="20"/>
              </w:rPr>
              <w:t xml:space="preserve">Stadium </w:t>
            </w:r>
            <w:r w:rsidRPr="002904A8">
              <w:rPr>
                <w:sz w:val="20"/>
                <w:szCs w:val="20"/>
              </w:rPr>
              <w:t>IVB</w:t>
            </w:r>
          </w:p>
        </w:tc>
        <w:tc>
          <w:tcPr>
            <w:tcW w:w="2123" w:type="dxa"/>
          </w:tcPr>
          <w:p w14:paraId="3F6558F1"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Jedes T</w:t>
            </w:r>
          </w:p>
        </w:tc>
        <w:tc>
          <w:tcPr>
            <w:tcW w:w="2124" w:type="dxa"/>
          </w:tcPr>
          <w:p w14:paraId="2E11F430"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Jedes N</w:t>
            </w:r>
          </w:p>
        </w:tc>
        <w:tc>
          <w:tcPr>
            <w:tcW w:w="2124" w:type="dxa"/>
          </w:tcPr>
          <w:p w14:paraId="01D198BA" w14:textId="77777777" w:rsidR="00C85902" w:rsidRPr="002904A8" w:rsidRDefault="00C85902" w:rsidP="002904A8">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04A8">
              <w:rPr>
                <w:sz w:val="20"/>
                <w:szCs w:val="20"/>
              </w:rPr>
              <w:t>M1b</w:t>
            </w:r>
          </w:p>
        </w:tc>
      </w:tr>
    </w:tbl>
    <w:p w14:paraId="120D1589" w14:textId="77777777" w:rsidR="00C85902" w:rsidRDefault="00C85902" w:rsidP="00B62E00"/>
    <w:p w14:paraId="1AFFE9F6" w14:textId="77777777" w:rsidR="00C85902" w:rsidRDefault="00C85902" w:rsidP="00E842A2">
      <w:pPr>
        <w:keepNext/>
      </w:pPr>
      <w:r>
        <w:rPr>
          <w:noProof/>
        </w:rPr>
        <w:drawing>
          <wp:inline distT="0" distB="0" distL="0" distR="0" wp14:anchorId="4A6437F2" wp14:editId="01C32678">
            <wp:extent cx="5400040" cy="41814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181475"/>
                    </a:xfrm>
                    <a:prstGeom prst="rect">
                      <a:avLst/>
                    </a:prstGeom>
                  </pic:spPr>
                </pic:pic>
              </a:graphicData>
            </a:graphic>
          </wp:inline>
        </w:drawing>
      </w:r>
    </w:p>
    <w:p w14:paraId="66BF36E4" w14:textId="6064BBFE" w:rsidR="00C85902" w:rsidRPr="007F4EE7" w:rsidRDefault="00C85902" w:rsidP="007F4EE7">
      <w:pPr>
        <w:pStyle w:val="Beschriftung"/>
        <w:rPr>
          <w:vanish/>
          <w:specVanish/>
        </w:rPr>
      </w:pPr>
      <w:bookmarkStart w:id="15" w:name="_Ref116921831"/>
      <w:bookmarkStart w:id="16" w:name="_Toc120649879"/>
      <w:r>
        <w:t xml:space="preserve">Abbildung </w:t>
      </w:r>
      <w:r>
        <w:fldChar w:fldCharType="begin"/>
      </w:r>
      <w:r>
        <w:instrText xml:space="preserve"> SEQ Abbildung \* ARABIC </w:instrText>
      </w:r>
      <w:r>
        <w:fldChar w:fldCharType="separate"/>
      </w:r>
      <w:r w:rsidR="00791554">
        <w:rPr>
          <w:noProof/>
        </w:rPr>
        <w:t>2</w:t>
      </w:r>
      <w:r>
        <w:rPr>
          <w:noProof/>
        </w:rPr>
        <w:fldChar w:fldCharType="end"/>
      </w:r>
      <w:bookmarkEnd w:id="15"/>
      <w:r>
        <w:t xml:space="preserve"> TNM-Klassifikation des Blasenkrebs</w:t>
      </w:r>
      <w:bookmarkEnd w:id="16"/>
    </w:p>
    <w:p w14:paraId="50A9AF54" w14:textId="77777777" w:rsidR="00C85902" w:rsidRPr="002904A8" w:rsidRDefault="00C85902" w:rsidP="002904A8">
      <w:pPr>
        <w:pStyle w:val="Beschriftung"/>
      </w:pPr>
      <w:r>
        <w:t xml:space="preserve"> </w:t>
      </w:r>
      <w:r>
        <w:br/>
        <w:t>Die Abbildung zeigt eine schematische Darstellung der Wandschichten der Harnblase und die unterschiedlichen Eindringtiefen von Blasenkrebs, welche in der TNM-Klassifikation differenziert werden. In der Tabelle wird auf die gesamte TNM-Klassifikation eingegangen.</w:t>
      </w:r>
    </w:p>
    <w:p w14:paraId="18B815F1" w14:textId="77777777" w:rsidR="00C85902" w:rsidRDefault="00C85902" w:rsidP="00880459">
      <w:r>
        <w:t xml:space="preserve">Im Jahre 2016 entstand die erste S3 Leitlinie zur Diagnostik und Therapie des Urothelkarzinoms der Harnblase. Die aktuelle S3 Leitlinie zur Behandlung des Blasenkarzinoms wurde 2020 verfasst und umfasst in der Langversion rund 400 Seiten </w:t>
      </w:r>
      <w:r>
        <w:rPr>
          <w:noProof/>
        </w:rPr>
        <w:t>(Leitlinienprogramm Onkologie et al., 2020)</w:t>
      </w:r>
      <w:r>
        <w:t xml:space="preserve">. Im Folgenden werden die aktuellen Behandlungsleitlinien des Blasenkarzinoms kurz zusammengefasst. </w:t>
      </w:r>
    </w:p>
    <w:p w14:paraId="692E6BA8" w14:textId="77777777" w:rsidR="00C85902" w:rsidRDefault="00C85902" w:rsidP="00880459">
      <w:r>
        <w:t xml:space="preserve">Nicht nur bei der Diagnostik, sondern auch bei der Therapie des Harnblasenkarzinoms muss zwischen dem muskelinvasiven und dem nicht-muskelinvasiven Harnblasenkarzinom unterschieden werden. Bei den nicht-muskelinvasiven Harnblasenkarzinomen, welche sich auf die Mukosa (Ta,Cis) oder Submukosa (T1) beschränken, ist die transurethrale Resektion nicht nur für die Probengewinnung und zytologische Diagnostik notwendig, sondern dient teilweise gleichzeitig als Therapie </w:t>
      </w:r>
      <w:r>
        <w:rPr>
          <w:noProof/>
        </w:rPr>
        <w:t>(Richterstetter et al., 2012, Mariappan et al., 2012)</w:t>
      </w:r>
      <w:r>
        <w:t xml:space="preserve">. </w:t>
      </w:r>
    </w:p>
    <w:p w14:paraId="34E4F335" w14:textId="77777777" w:rsidR="00C85902" w:rsidRDefault="00C85902" w:rsidP="009175CA">
      <w:pPr>
        <w:pStyle w:val="berschrift4"/>
      </w:pPr>
      <w:r w:rsidRPr="0022686E">
        <w:t>Therapie</w:t>
      </w:r>
      <w:r>
        <w:t xml:space="preserve"> der nicht-muskelinvasiven Blasentumore </w:t>
      </w:r>
    </w:p>
    <w:p w14:paraId="4E5316AA" w14:textId="77777777" w:rsidR="00C85902" w:rsidRDefault="00C85902" w:rsidP="005779C8">
      <w:r>
        <w:t xml:space="preserve">Das Urothelkarzinom zeichnet sich unter anderem durch sein aggressives Wachstum und seine Progressionshäufigkeit aus. Dies bedeutet, dass oberflächliche Blasentumore je nach Tumorstadium und Grad der Differenzierung nach einer ausschließlich transurethralen Resektion in bis zu 70% der Fälle ein Rezidiv erleiden und bis zu 25% der Patienten einen Tumorprogress erleiden </w:t>
      </w:r>
      <w:r>
        <w:rPr>
          <w:noProof/>
        </w:rPr>
        <w:t>(Sylvester et al., 2006)</w:t>
      </w:r>
      <w:r>
        <w:t xml:space="preserve">. In-situ Tumore der Blase gehören laut ICD10 nicht zu den bösartigen Tumoren, haben jedoch eine hohe klinische Relevanz, da sie ein deutlich höheres Risiko für eine Progression, das heißt weiteres Tumorwachstum, sowie ein höheres Risiko für ein Rezidiv, das heißt Wiederauftreten nach der Behandlung, haben. Studien zeigen, dass Patienten mit einem initial lokal begrenzten Tumor auch nach einer erfolgten Zystektomie, das heißt einer chirurgischen Entfernung der gesamten Blase, innerhalb von 5 Jahren in bis zu 30% der Fälle eine systemische Tumorprogression erlitten </w:t>
      </w:r>
      <w:r>
        <w:rPr>
          <w:noProof/>
        </w:rPr>
        <w:t>(Hautmann et al., 2006)</w:t>
      </w:r>
      <w:r>
        <w:t xml:space="preserve">. </w:t>
      </w:r>
    </w:p>
    <w:p w14:paraId="64994C80" w14:textId="77777777" w:rsidR="00C85902" w:rsidRDefault="00C85902" w:rsidP="00D1111A">
      <w:r>
        <w:t xml:space="preserve">Bei Nachweis eines nicht-muskelinvasiven Blasenkarzinoms mit niedriger Risikokonstellation muss keine Nachresektion erfolgen. Im Falle einer inkompletten Resektion oder Bestehen einer mittleren oder hohen Risikokonstellation sollte die Nachresektion innerhalb eines Zeitrahmens von 6 Wochen nach der primären transurethralen Resektion (TUR) erfolgen, da Studien gezeigt haben, dass nach der primären TUR meist noch Resttumore vorhanden sind </w:t>
      </w:r>
      <w:r>
        <w:rPr>
          <w:noProof/>
        </w:rPr>
        <w:t>(Klän et al., 1991, Schips et al., 2002)</w:t>
      </w:r>
      <w:r>
        <w:t xml:space="preserve">. Hierbei sollte vor allem der Bereich der primären Resektion erneut reseziert werden, da sich hier 80% der Resttumore befinden </w:t>
      </w:r>
      <w:r>
        <w:rPr>
          <w:noProof/>
        </w:rPr>
        <w:t>(Ayati et al., 2019, Lazica et al., 2013)</w:t>
      </w:r>
      <w:r>
        <w:t xml:space="preserve">. Weitere Gründe für eine Nachresektion sind der S3- Leitlinie zu entnehmen. </w:t>
      </w:r>
    </w:p>
    <w:p w14:paraId="6818B50C" w14:textId="77777777" w:rsidR="00C85902" w:rsidRDefault="00C85902" w:rsidP="0012440B">
      <w:r>
        <w:t xml:space="preserve">Eine Frühinstillation bzw. eine adjuvante intravesikale Chemotherapie kann die Rezidivrate verringern </w:t>
      </w:r>
      <w:r>
        <w:rPr>
          <w:noProof/>
        </w:rPr>
        <w:t>(Sivalingam et al., 2005)</w:t>
      </w:r>
      <w:r>
        <w:t xml:space="preserve">. Vor allem Patienten mit einem low-risk bzw. unifokalen Urothelkarzinom haben den größten Profit von einer einmaligen Frühinstillation, das heißt eine Instillation innerhalb der ersten sechs bis 24 postoperativen Stunden </w:t>
      </w:r>
      <w:r>
        <w:rPr>
          <w:noProof/>
        </w:rPr>
        <w:t>(Abern et al., 2013, Sylvester et al., 2008)</w:t>
      </w:r>
      <w:r>
        <w:t xml:space="preserve">. Zur Frühinstillation können Bacille-Calmette-Guerin (BCG), Mitomycin C, Doxorubicin und Epirubicin genutzt werden </w:t>
      </w:r>
      <w:r>
        <w:rPr>
          <w:noProof/>
        </w:rPr>
        <w:t>(Takenaka et al., 2008, Sylvester et al., 2004, Böhle and Bock, 2004)</w:t>
      </w:r>
      <w:r>
        <w:t xml:space="preserve">. Bei BCG handelt es sich um eine attenuierte Form des Mykobakteriums Mycobacterium bovis, das in der Lage ist als Immunmodulator zu agieren, indem es eine granulomatöse Entzündung im Organismus hervorruft und die Bildung von Zytokinen und die Aktivierung der T-Zellen fördert </w:t>
      </w:r>
      <w:r>
        <w:rPr>
          <w:noProof/>
        </w:rPr>
        <w:t>(Ärzteblatt, 1996)</w:t>
      </w:r>
      <w:r>
        <w:t xml:space="preserve">. </w:t>
      </w:r>
    </w:p>
    <w:p w14:paraId="16E67271" w14:textId="77777777" w:rsidR="00C85902" w:rsidRPr="00F323BD" w:rsidRDefault="00C85902" w:rsidP="0012440B">
      <w:r w:rsidRPr="00F323BD">
        <w:t>Das Carcinoma in</w:t>
      </w:r>
      <w:r>
        <w:t>-</w:t>
      </w:r>
      <w:r w:rsidRPr="00F323BD">
        <w:t>situ (CIS)</w:t>
      </w:r>
      <w:r>
        <w:t xml:space="preserve"> ist eine aggressive und nur gering differenzierte Neoplasie des Urothels, die sowohl allein als auch begleitend vorliegen kann </w:t>
      </w:r>
      <w:r>
        <w:rPr>
          <w:noProof/>
        </w:rPr>
        <w:t>(Meijer et al., 2011)</w:t>
      </w:r>
      <w:r>
        <w:t xml:space="preserve">. Aufgrund seines flachen Wachstums wird das CIS endoskopisch oft nicht erkannt und auch in randomisierten Biopsien nicht immer gefunden </w:t>
      </w:r>
      <w:r>
        <w:rPr>
          <w:noProof/>
        </w:rPr>
        <w:t>(Burger et al., 2013, Bolenz et al., 2013)</w:t>
      </w:r>
      <w:r>
        <w:t xml:space="preserve">. Die Behandlung mit BCG im Induktionsschema bzw. Erhaltungsschema, aber auch die etwas drastischere und teilweise übertherapeutische radikale Zystektomie stellen bei einem alleinigem CIS Therapieoptionen dar </w:t>
      </w:r>
      <w:r>
        <w:rPr>
          <w:noProof/>
        </w:rPr>
        <w:t>(Takenaka et al., 2008, Huang et al., 2009, Gofrit et al., 2009)</w:t>
      </w:r>
      <w:r>
        <w:t>.</w:t>
      </w:r>
    </w:p>
    <w:p w14:paraId="21C10DCD" w14:textId="77777777" w:rsidR="00C85902" w:rsidRDefault="00C85902" w:rsidP="0012440B">
      <w:r>
        <w:t>Da bei den nicht-muskelinvasiven Harnblasenkarzinomen eine Rezidivneigung und ein Progressionsrisiko vorliegen, sollte nach Ermittlung der Risikoklassifikation eine regelmäßige Nachsorgeuntersuchung erfolgen.</w:t>
      </w:r>
    </w:p>
    <w:p w14:paraId="063B4685" w14:textId="77777777" w:rsidR="00C85902" w:rsidRDefault="00C85902" w:rsidP="0012440B">
      <w:pPr>
        <w:pStyle w:val="berschrift4"/>
      </w:pPr>
      <w:r>
        <w:t>Muskelinvasive Harnblasenkarzinome</w:t>
      </w:r>
    </w:p>
    <w:p w14:paraId="2B0D1603" w14:textId="77777777" w:rsidR="00C85902" w:rsidRDefault="00C85902" w:rsidP="0012440B">
      <w:r>
        <w:t xml:space="preserve">Nach der Diagnosestellung eines muskelinvasiven Blasenkarzinoms muss ein Abwägen von und eine Aufklärung über die peri- und postoperativen Risiken unter Beachtung des individuellen Risikoprofils und der Komorbiditäten des Patienten erfolgen. Die radikale Zystektomie soll, falls keine neoadjuvante Therapie erfolgt, nach Möglichkeit innerhalb von 3 Monaten erfolgen, da eine Verzögerung der Therapie die Prognose negativ beeinflusst </w:t>
      </w:r>
      <w:r>
        <w:rPr>
          <w:noProof/>
        </w:rPr>
        <w:t>(Gore et al., 2009, Kulkarni et al., 2009)</w:t>
      </w:r>
      <w:r>
        <w:t xml:space="preserve">. Bei einem lokal begrenzten muskelinvasiven Blasenkarzinom (und teilweise auch bei nicht-invasivem Blasenkarzinom) ist die radikale Zystektomie in Verbindung mit der beidseitigen pelvinen Lymphadenektomie die Standardtherapie mit kurativer Intention. </w:t>
      </w:r>
    </w:p>
    <w:p w14:paraId="301245AF" w14:textId="77777777" w:rsidR="00C85902" w:rsidRDefault="00C85902" w:rsidP="003750AF">
      <w:r>
        <w:t xml:space="preserve">Die Rate an Frühkomplikationen innerhalb der ersten drei postoperativen Monate ist mit bis zu 58% hoch und beinhaltet unter anderem Ileus, Harnwegsinfekte, Infektion der Wunde und thromboembolische Ereignisse </w:t>
      </w:r>
      <w:r>
        <w:rPr>
          <w:noProof/>
        </w:rPr>
        <w:t>(Stein et al., 2001, Ramani et al., 2009, Froehner et al., 2009)</w:t>
      </w:r>
      <w:r w:rsidRPr="002655E1">
        <w:t>.</w:t>
      </w:r>
      <w:r>
        <w:t xml:space="preserve"> Des Weiteren müssen die Möglichkeiten zur Harnableitung nach Zystektomie besprochen werden, inklusive der jeweiligen Vor- und Nachteile </w:t>
      </w:r>
      <w:r>
        <w:rPr>
          <w:noProof/>
        </w:rPr>
        <w:t>(Nieuwenhuijzen et al., 2008)</w:t>
      </w:r>
      <w:r>
        <w:t xml:space="preserve">. Die Wahl der Harnableitung orientiert sich an der Lebensqualität, Morbidität und Mortalität. Man unterscheidet zwischen kontinenten und inkontinenten Formen der Harnableitung. Eine Übersicht zu den Formen und den jeweiligen Vor- und Nachteilen der unterschiedlichen Harnableitungen ist der S3-Leitlinie des Harnblasenkarzinoms zu entnehmen </w:t>
      </w:r>
      <w:r>
        <w:rPr>
          <w:noProof/>
        </w:rPr>
        <w:t>(Leitlinienprogramm Onkologie et al., 2020)</w:t>
      </w:r>
      <w:r>
        <w:t xml:space="preserve">. </w:t>
      </w:r>
    </w:p>
    <w:p w14:paraId="4808272F" w14:textId="77777777" w:rsidR="00C85902" w:rsidRDefault="00C85902" w:rsidP="00880459">
      <w:r>
        <w:t xml:space="preserve">Die Operationstechnik bei der radikalen Zystektomie hat sich über die Jahre weiterentwickelt und kann sowohl konventionell, laparoskopisch oder roboter-assistiert erfolgen. Jedoch bleibt die offene Variante mit einer bilateralen pelvinen Lymphadenektomie die Standardtherapie </w:t>
      </w:r>
      <w:r>
        <w:rPr>
          <w:noProof/>
        </w:rPr>
        <w:t>(Stein et al., 2001, Li et al., 2013)</w:t>
      </w:r>
      <w:r>
        <w:t>. Trotz der Weiterentwicklung der Verfahren beträgt die krankheitsspezifische Üb</w:t>
      </w:r>
      <w:r w:rsidRPr="005C65D0">
        <w:t xml:space="preserve">erlebensrate maximal 66% bezogen auf alle pathologischen Tumorstadien </w:t>
      </w:r>
      <w:r w:rsidRPr="005C65D0">
        <w:rPr>
          <w:noProof/>
        </w:rPr>
        <w:t>(Hautmann et al., 2012, Shariat et al., 2006)</w:t>
      </w:r>
      <w:r w:rsidRPr="005C65D0">
        <w:t>.</w:t>
      </w:r>
      <w:r>
        <w:t xml:space="preserve"> Ab dem Tumorstadium </w:t>
      </w:r>
      <w:r>
        <w:rPr>
          <w:rFonts w:cs="Arial"/>
        </w:rPr>
        <w:t>≥</w:t>
      </w:r>
      <w:r>
        <w:t xml:space="preserve">pT2 soll die radikale Zystektomie angeboten werden. Bei dieser Form werden auch die unmittelbaren Nachbarorgane, wie distale Harnleiter, Prostata und Samenblasen bzw. Uterus, Eierstöcke und Eileiter sowie Teile der vorderen Vaginalwand entfernt </w:t>
      </w:r>
      <w:r>
        <w:rPr>
          <w:noProof/>
        </w:rPr>
        <w:t>(Skinner et al., 2007)</w:t>
      </w:r>
      <w:r>
        <w:t xml:space="preserve">. Eine Alternative zur radikalen Zystektomie mit kurativem Ansatz bei lokal begrenztem muskelinvasiven Urothelkarzinom der Harnblase (cT2-4 cN0/NX M0) bildet die primär organerhaltende Therapie </w:t>
      </w:r>
      <w:r>
        <w:rPr>
          <w:noProof/>
        </w:rPr>
        <w:t>(Chen et al., 2013, Given et al., 1995)</w:t>
      </w:r>
      <w:r>
        <w:t xml:space="preserve">. Bei einer inkompletten Remission sollte eine Salvage-Zystektomie erfolgen </w:t>
      </w:r>
      <w:r>
        <w:rPr>
          <w:noProof/>
        </w:rPr>
        <w:t>(Ploussard et al., 2014)</w:t>
      </w:r>
      <w:r>
        <w:t>.</w:t>
      </w:r>
    </w:p>
    <w:p w14:paraId="7BD42364" w14:textId="77777777" w:rsidR="00C85902" w:rsidRDefault="00C85902" w:rsidP="00880459">
      <w:r>
        <w:t>Beim Vorliegen eines muskelinvasiven Harnblasenkarzinoms (</w:t>
      </w:r>
      <w:r>
        <w:rPr>
          <w:rFonts w:cs="Arial"/>
        </w:rPr>
        <w:t>≥</w:t>
      </w:r>
      <w:r>
        <w:t>T2) sollte die Therapie multidisziplinär, das heißt unter Einbeziehung der Urologen, Internisten und Radiologen erfolgen. Es sollte auch der Allgemeinzustand des Patienten einbezogen werden. Bei einer neoadjuvanten Chemotherapie erfolgt alle zwei Zyklen ein bildgebendes Re-staging zum Ausschluss einer Progression</w:t>
      </w:r>
      <w:r>
        <w:rPr>
          <w:noProof/>
        </w:rPr>
        <w:t>(Wallace et al., 1991, Grossman et al., 2003)</w:t>
      </w:r>
      <w:r>
        <w:t>.</w:t>
      </w:r>
    </w:p>
    <w:p w14:paraId="145EB40F" w14:textId="77777777" w:rsidR="00C85902" w:rsidRDefault="00C85902" w:rsidP="002C3C16">
      <w:r>
        <w:t>Aufgrund des bis zu 80% hohen Rezidivrisikos nach Zystektomie sollte beim organüberschreitenden muskelinvasiven Harnblasenkarzinom (</w:t>
      </w:r>
      <w:r>
        <w:rPr>
          <w:rFonts w:cs="Arial"/>
        </w:rPr>
        <w:t>≥</w:t>
      </w:r>
      <w:r>
        <w:t xml:space="preserve">pT3 und/oder pN+) nach der Zystektomie über die Dauer von 3-4 Zyklen eine Cisplatinbasierte Kombinationschemotherapie folgen </w:t>
      </w:r>
      <w:r>
        <w:rPr>
          <w:noProof/>
        </w:rPr>
        <w:t>(Hautmann et al., 2012, Studer et al., 1994)</w:t>
      </w:r>
      <w:r>
        <w:t xml:space="preserve">. Das metastasierte Urothelkarzinom der Harnblase soll nach Ausschluss der Kontraindikationen für Cisplatin mit einer cisplatinhaltigen Chemotherapie behandelt werden. Nach zwei Zyklen soll das Therapieansprechen mittels Re-Staging ermittelt werden, um eine unnötige Toxizität zu vermeiden </w:t>
      </w:r>
      <w:r>
        <w:rPr>
          <w:noProof/>
        </w:rPr>
        <w:t>(Mead et al., 1998, Studer et al., 1994)</w:t>
      </w:r>
      <w:r>
        <w:t>.</w:t>
      </w:r>
    </w:p>
    <w:p w14:paraId="102E5953" w14:textId="77777777" w:rsidR="00C85902" w:rsidRDefault="00C85902" w:rsidP="002C3C16">
      <w:r>
        <w:t xml:space="preserve">Immuntherapien stehen aktuell nur für Patienten mit Cisplatin Unverträglichkeit oder Progress unter Chemotherapie zu Verfügung. Hierbei haben sich bei positiven PD-L1 Status die Immuncheckpoint Inhibitoren Atezolizumab und Pembrolizumab als geeignet erwiesen </w:t>
      </w:r>
      <w:r>
        <w:rPr>
          <w:noProof/>
        </w:rPr>
        <w:t>(Patel et al., 2018, Massard et al., 2016)</w:t>
      </w:r>
      <w:r>
        <w:t>.</w:t>
      </w:r>
    </w:p>
    <w:p w14:paraId="5D258FA1" w14:textId="77777777" w:rsidR="00C85902" w:rsidRPr="0091687C" w:rsidRDefault="00C85902" w:rsidP="00880459">
      <w:r>
        <w:t xml:space="preserve">Bei dem metastasierten Harnblasenkarzinom gibt es bisher keinen Tumor- oder Biomarker, der sich für das Monitoring der palliativen Therapie oder im Rahmen der Nachsorge etabliert hat. </w:t>
      </w:r>
    </w:p>
    <w:p w14:paraId="05040276" w14:textId="77777777" w:rsidR="00C85902" w:rsidRDefault="00C85902" w:rsidP="00CD5FDE">
      <w:pPr>
        <w:pStyle w:val="berschrift3"/>
      </w:pPr>
      <w:bookmarkStart w:id="17" w:name="_Toc121158641"/>
      <w:r>
        <w:t>Wirtschaftlicher Aspekt bei Blasenkrebs</w:t>
      </w:r>
      <w:bookmarkEnd w:id="17"/>
    </w:p>
    <w:p w14:paraId="05DF1CB9" w14:textId="607B7E0A" w:rsidR="00C85902" w:rsidRDefault="00C85902" w:rsidP="0043556F">
      <w:r>
        <w:t xml:space="preserve">Die Behandlung von Krebserkrankungen ist allgemein kostspielig </w:t>
      </w:r>
      <w:r>
        <w:rPr>
          <w:noProof/>
        </w:rPr>
        <w:t>(Luengo-Fernandez et al., 2013)</w:t>
      </w:r>
      <w:r>
        <w:t xml:space="preserve">. Insbesondere das Urothelkarzinom der Blase verursacht aufgrund hoher Rezidivraten, intensiver Überwachungsstrategien und teurer Behandlungen hohe Kosten für das Gesundheitssystem. Mit jährlichen Kosten von über </w:t>
      </w:r>
      <w:r w:rsidRPr="006B5F2D">
        <w:t>3 Mrd</w:t>
      </w:r>
      <w:r>
        <w:t>.</w:t>
      </w:r>
      <w:r w:rsidRPr="006B5F2D">
        <w:t xml:space="preserve"> US$</w:t>
      </w:r>
      <w:r>
        <w:t xml:space="preserve"> gehört das Harnblasenkarzinom in den USA bereits zu den fünf teuersten Tumorentitäten und hat die höchsten Behandlungskosten pro Erkrankten </w:t>
      </w:r>
      <w:r>
        <w:rPr>
          <w:noProof/>
        </w:rPr>
        <w:t>(Brown et al., 2002)</w:t>
      </w:r>
      <w:r>
        <w:t xml:space="preserve">. Dennoch findet, vor allem im Vergleich zu anderen Krebserkrankungen, deutlich zu wenig Grundlagenforschung statt </w:t>
      </w:r>
      <w:r>
        <w:rPr>
          <w:noProof/>
        </w:rPr>
        <w:t>(Kunath et al., 2013)</w:t>
      </w:r>
      <w:r>
        <w:t xml:space="preserve">. </w:t>
      </w:r>
      <w:r w:rsidRPr="004366C8">
        <w:t xml:space="preserve">Trotz der kostenintensiven Therapien hat sich die 5-Jahres Überlebensrate bei Blasenkrebs in den letzten 30 Jahren kaum verbessert </w:t>
      </w:r>
      <w:r w:rsidRPr="004366C8">
        <w:rPr>
          <w:noProof/>
        </w:rPr>
        <w:t>(Siegel et al., 2019)</w:t>
      </w:r>
      <w:r w:rsidRPr="004366C8">
        <w:t>. Um die Kosten für die Behandlung von Blasenkrebs und die Belastung durch die Erkrankung für die Patienten in Zukunft zu verringern, ist es wichtig</w:t>
      </w:r>
      <w:r>
        <w:t>,</w:t>
      </w:r>
      <w:r w:rsidRPr="004366C8">
        <w:t xml:space="preserve"> mehr Zeit und vor allem Geld in die Grundlagenforschung zu investieren. Ziel ist die Entdeckung, Erforschung und Etablierung</w:t>
      </w:r>
      <w:r>
        <w:t xml:space="preserve"> von </w:t>
      </w:r>
      <w:r w:rsidRPr="004366C8">
        <w:t>Tumormarker</w:t>
      </w:r>
      <w:r>
        <w:t>n</w:t>
      </w:r>
      <w:r w:rsidRPr="004366C8">
        <w:t xml:space="preserve"> für das Screening, die Therapie und das Monitoring von Blasenkrebs. Dies ist der Grundstein für die Etablierung</w:t>
      </w:r>
      <w:r>
        <w:t xml:space="preserve"> </w:t>
      </w:r>
      <w:r w:rsidRPr="004366C8">
        <w:t xml:space="preserve">neuer Therapiemöglichkeiten </w:t>
      </w:r>
      <w:r>
        <w:t xml:space="preserve">aber auch zur Verbesserung des Ansprechens auf bereits etablierte Therapien </w:t>
      </w:r>
      <w:r w:rsidRPr="004366C8">
        <w:t>wie beispielsweise d</w:t>
      </w:r>
      <w:r>
        <w:t xml:space="preserve">ie </w:t>
      </w:r>
      <w:r w:rsidRPr="004366C8">
        <w:t>Immuntherapie</w:t>
      </w:r>
      <w:r>
        <w:t>. Auch die</w:t>
      </w:r>
      <w:r w:rsidRPr="004366C8">
        <w:t xml:space="preserve"> </w:t>
      </w:r>
      <w:r>
        <w:t xml:space="preserve">Früherkennung, </w:t>
      </w:r>
      <w:r w:rsidRPr="004366C8">
        <w:t xml:space="preserve">beziehungsweise </w:t>
      </w:r>
      <w:r>
        <w:t xml:space="preserve">die </w:t>
      </w:r>
      <w:r w:rsidRPr="004366C8">
        <w:t xml:space="preserve">Heilung </w:t>
      </w:r>
      <w:r>
        <w:t xml:space="preserve">und das Verhindern von Rezidiven </w:t>
      </w:r>
      <w:r w:rsidRPr="004366C8">
        <w:t>des Blasenkarzinoms</w:t>
      </w:r>
      <w:r>
        <w:t xml:space="preserve"> kann durch die Entdeckung und Etablierung eines neuen Markers verbessert werden</w:t>
      </w:r>
      <w:r w:rsidRPr="004366C8">
        <w:t>.</w:t>
      </w:r>
    </w:p>
    <w:p w14:paraId="5B5D8CFE" w14:textId="77777777" w:rsidR="00C85902" w:rsidRDefault="00C85902" w:rsidP="00AE386B">
      <w:pPr>
        <w:pStyle w:val="berschrift2"/>
      </w:pPr>
      <w:bookmarkStart w:id="18" w:name="_Toc121158642"/>
      <w:r>
        <w:t>Expression von CD276 und anderen Tumormarkern bei Blasenkarzinom und molekulare Regulationsmechanismen</w:t>
      </w:r>
      <w:bookmarkEnd w:id="18"/>
    </w:p>
    <w:p w14:paraId="2EF6D76C" w14:textId="77777777" w:rsidR="00C85902" w:rsidRPr="000F4A34" w:rsidRDefault="00C85902" w:rsidP="000F4A34">
      <w:r>
        <w:t>Im Folgenden wird zunächst auf die Tumortherapie im Allgemeinen und die Grundlagen der Immunantwort eingegangen. Darauf aufbauend wird auf die Eigenschaften und Regulationsmechanismen der B7 Familie eingegangen und hierbei insbesondere auf CD276</w:t>
      </w:r>
      <w:r w:rsidRPr="004366C8">
        <w:t xml:space="preserve"> </w:t>
      </w:r>
      <w:r>
        <w:t>(auch B7H3 genannt), das Teil der B7 Familie ist. Abschließend wird auf die klinische Relevanz der Tumormarker eingegangen.</w:t>
      </w:r>
    </w:p>
    <w:p w14:paraId="4EB31A55" w14:textId="77777777" w:rsidR="00C85902" w:rsidRDefault="00C85902" w:rsidP="00634600">
      <w:pPr>
        <w:pStyle w:val="berschrift3"/>
      </w:pPr>
      <w:bookmarkStart w:id="19" w:name="_Toc121158643"/>
      <w:r>
        <w:t>Tumortherapie allgemein und Grundlagen der Immunantwort</w:t>
      </w:r>
      <w:bookmarkEnd w:id="19"/>
      <w:r>
        <w:t xml:space="preserve"> </w:t>
      </w:r>
    </w:p>
    <w:p w14:paraId="48060F63" w14:textId="77777777" w:rsidR="00C85902" w:rsidRDefault="00C85902" w:rsidP="00634600">
      <w:r>
        <w:t xml:space="preserve">Operationen, Radio- und Chemotherapien bilden den Grundstein der heutigen Krebstherapie. Dennoch sind diese Formen der Therapie nicht bei jeder Tumorart ausreichend, um eine Heilung zu erreichen oder zumindest ein Fortschreiten der Erkrankung zu verhindern. In den letzten Jahrzehnten ist es der Forschung gelungen, Tumormarker und Entstehungswege von Tumoren zu erkennen und neue Medikamente zur Behandlung von Tumoren mit bestimmten molekularen beziehungsweise zellulären Mustern zu entwickeln </w:t>
      </w:r>
      <w:r>
        <w:rPr>
          <w:noProof/>
        </w:rPr>
        <w:t>(Esfahani et al., 2020)</w:t>
      </w:r>
      <w:r>
        <w:t xml:space="preserve">. Diese Tumormarker werden im Zuge der personalisierten Medizin zunehmend relevanter für das Screening, die Diagnostik sowie die Therapie und das Monitoring von Tumorerkrankungen. Die so neu entstandene Immuntherapie bietet neue Möglichkeiten in der Behandlung von verschiedenen Krebsarten, da sie helfen kann, die Aktivität des Immunsystems des Patienten zu modulieren. </w:t>
      </w:r>
    </w:p>
    <w:p w14:paraId="2B892102" w14:textId="77777777" w:rsidR="00C85902" w:rsidRDefault="00C85902" w:rsidP="001B1C15">
      <w:r>
        <w:t>Um das Verständnis der Immuntherapie zu erleichtern, werden im Folgenden die grundliegenden Eigenschafen und die Funktionsweise des Immunsystems</w:t>
      </w:r>
      <w:r w:rsidRPr="00A740D4">
        <w:t xml:space="preserve"> </w:t>
      </w:r>
      <w:r>
        <w:t>vereinfacht dargestellt. Ein wichtiger Bestandteil der spezifischen Immunantwort sind die T-Zellen, bei welchen man die CD4</w:t>
      </w:r>
      <w:r>
        <w:rPr>
          <w:vertAlign w:val="superscript"/>
        </w:rPr>
        <w:t>+</w:t>
      </w:r>
      <w:r>
        <w:t xml:space="preserve"> und die CD8</w:t>
      </w:r>
      <w:r>
        <w:rPr>
          <w:vertAlign w:val="superscript"/>
        </w:rPr>
        <w:t>+</w:t>
      </w:r>
      <w:r>
        <w:t xml:space="preserve"> T Zellen unterscheiden kann. Die Aktivierung der T-Zelle ist abhängig von zwei voneinander unabhängigen Komponenten: erstens der richtigen Kombination aus T-Zellrezeptor (TCR) und dem antigenen Peptid, das auf den Molekülen des Major Histocompatibility Komplex 1 beziehungsweise 2 präsentiert und im folgenden MHC 1 oder MHC 2 genannt wird. MHC1 und MHC2 werden auf Antigen präsentierenden Zellen (APC) exprimiert. Zweitens ist die Aktivierung abhängig von co-stimulatorischen Signalen.  Hier kommen CD276 und andere co-stimulatorische Signale ins Spiel. APC sind in der Lage, Bestandteile von nekrotischen Tumorzellen zu verarbeiten und nach Migration zu lymphoiden Geweben mit CD4</w:t>
      </w:r>
      <w:r>
        <w:rPr>
          <w:vertAlign w:val="superscript"/>
        </w:rPr>
        <w:t>+</w:t>
      </w:r>
      <w:r>
        <w:t xml:space="preserve"> und CD8</w:t>
      </w:r>
      <w:r>
        <w:rPr>
          <w:vertAlign w:val="superscript"/>
        </w:rPr>
        <w:t>+</w:t>
      </w:r>
      <w:r>
        <w:t xml:space="preserve"> T Zellen zu interagieren und diese im Folgenden zu aktivieren, sodass die T Zellen in der Lage sind, tumorspezifische oder tumorassoziierte Antigene zu erkennen und somit den Tumor zu bekämpfen. Außerdem sind auf der Zellmembran von aktivierten APC immunregulatorische Proteine der B7-Familie zu finden, welche eine Rolle in der Regulation der T-Zellen und somit der adaptiven Immunantwort spielen </w:t>
      </w:r>
      <w:r>
        <w:rPr>
          <w:noProof/>
        </w:rPr>
        <w:t>(Flem-Karlsen et al., 2020)</w:t>
      </w:r>
      <w:r>
        <w:t xml:space="preserve">. Aktuell gibt es zehn Mitglieder der Familie, von denen sieben B7-Homologe (B7-H) sind. Die B7-Proteine interagieren mit ihrer extrazellulären Immunoglobulin Domäne als Ligand mit den Rezeptoren der CD28/CTLA-4- Familie </w:t>
      </w:r>
      <w:r>
        <w:rPr>
          <w:noProof/>
        </w:rPr>
        <w:t>(Collins et al., 2005)</w:t>
      </w:r>
      <w:r>
        <w:t xml:space="preserve">. Diese Ligand-Rezeptor-Interaktion kann, in Abhängigkeit vom Rezeptor, sowohl co-aktivierend als auch co-inhibierend auf die T-Zellen und somit das Immunsystem wirken </w:t>
      </w:r>
      <w:r>
        <w:rPr>
          <w:noProof/>
        </w:rPr>
        <w:t>(Yang et al., 2020)</w:t>
      </w:r>
      <w:r>
        <w:t xml:space="preserve"> </w:t>
      </w:r>
      <w:r>
        <w:rPr>
          <w:noProof/>
        </w:rPr>
        <w:t>(Zang and Allison, 2007)</w:t>
      </w:r>
      <w:r>
        <w:t xml:space="preserve">. </w:t>
      </w:r>
    </w:p>
    <w:p w14:paraId="46C40D9D" w14:textId="77777777" w:rsidR="00C85902" w:rsidRDefault="00C85902" w:rsidP="00C52D11">
      <w:r>
        <w:t xml:space="preserve">Studien zeigten, dass eine hoch-Regulation der inhibitorischen B7-Moküle im Zusammenhang mit einer höheren Immuninvasion des Tumors steht. Ein bekanntes inhibitorisch auf das Immunsystem wirkendes Mitglied der B7-Familie ist  das transmembranäre Protein B7-H1, welches auch unter dem Namen PD-L1 bekannt ist </w:t>
      </w:r>
      <w:r>
        <w:rPr>
          <w:noProof/>
        </w:rPr>
        <w:t>(Dong et al., 1999)</w:t>
      </w:r>
      <w:r>
        <w:t xml:space="preserve">. PD-L1 wird auch von Zellen einer Vielzahl unterschiedlicher Tumore, unter anderem Blasenkrebs, Brustkrebs, Melanomen und nicht-klein-zelligem Lungenkrebs exprimiert </w:t>
      </w:r>
      <w:r>
        <w:rPr>
          <w:noProof/>
        </w:rPr>
        <w:t>(Powles et al., 2014, Herbst et al., 2014, Topalian et al., 2012, Brahmer et al., 2012, Brahmer et al., 2015)</w:t>
      </w:r>
      <w:r>
        <w:t xml:space="preserve">.  PD-L1 bindet an den PD-1 Rezeptor, der unter anderem auf aktivierten T-Zellen exprimiert wird und bewirkt deren Inaktivität bis hin zu deren Apoptose. So können Tumore einer Immunantwort entgehen und weiter proliferieren </w:t>
      </w:r>
      <w:r>
        <w:rPr>
          <w:noProof/>
        </w:rPr>
        <w:t>(Dong et al., 1999, Loos et al., 2008, Konishi et al., 2004)</w:t>
      </w:r>
      <w:r>
        <w:t>. Die Expression von PD-L1 wird unter anderem durch Entzündungsmediatoren und Zytokine wie IFN-</w:t>
      </w:r>
      <w:r>
        <w:rPr>
          <w:rFonts w:cs="Arial"/>
        </w:rPr>
        <w:t>γ</w:t>
      </w:r>
      <w:r>
        <w:t xml:space="preserve"> und Tumornekrose Faktor (TNF) </w:t>
      </w:r>
      <w:r>
        <w:rPr>
          <w:rFonts w:cs="Arial"/>
        </w:rPr>
        <w:t xml:space="preserve">α hoch reguliert. </w:t>
      </w:r>
      <w:r>
        <w:t>2014 erfolgte die erste Zulassung eines PD-1 Inhibitors zur Behandlung des fortgeschrittenen, nicht resezierbaren Melanoms. Dabei handelte es sich um Pembrolizumab</w:t>
      </w:r>
      <w:r w:rsidRPr="002502BC">
        <w:rPr>
          <w:vertAlign w:val="superscript"/>
        </w:rPr>
        <w:t>®</w:t>
      </w:r>
      <w:r>
        <w:t xml:space="preserve">, einen inhibitorisch wirksamen, monoklonalen IgG4 Antikörper. PD-1 wie auch PDL-1 Inhibitoren haben sich seitdem in der Therapie verschiedener Tumorarten, wie beispielsweise dem Melanom oder dem Lungenkrebs, etabliert, um ein Immun Escape der Tumorzellen zu verhindern und die Immunantwort des Körpers gegen den Tumor zu fördern </w:t>
      </w:r>
      <w:r>
        <w:rPr>
          <w:noProof/>
        </w:rPr>
        <w:t>(Topalian et al., 2012, Gong et al., 2018, Wei et al., 2018)</w:t>
      </w:r>
      <w:r>
        <w:t>.</w:t>
      </w:r>
    </w:p>
    <w:p w14:paraId="6A4B093D" w14:textId="77777777" w:rsidR="00C85902" w:rsidRPr="00752F49" w:rsidRDefault="00C85902" w:rsidP="00752F49">
      <w:r>
        <w:t xml:space="preserve">CD276, das auch B7-H3 genannt wird, wurde 2001 von Chapoval et al. entdeckt und wurde aufgrund von 20-27% Übereinstimmung mit anderen Mitgliedern der B7-Familie als ein Mitglied dieser identifiziert </w:t>
      </w:r>
      <w:r>
        <w:rPr>
          <w:noProof/>
        </w:rPr>
        <w:t>(Chapoval et al., 2001)</w:t>
      </w:r>
      <w:r>
        <w:t xml:space="preserve">. Es existieren drei Isoformen des humanen CD276 mit unterschiedlichen extrazellulären Domänen. Diese Domänen sind homolog zu Immunoglobulin variabler (IgV) und Immunoglobulin konstanter (IgC) Domänen. Es handelt sich bei CD276 um ein </w:t>
      </w:r>
      <w:r w:rsidRPr="00677A3A">
        <w:t>Typ 1</w:t>
      </w:r>
      <w:r>
        <w:t xml:space="preserve"> transmembranäres Protein, das aber auch im Zytoplasma von Zellen sowie im Nukleus vorliegt </w:t>
      </w:r>
      <w:r>
        <w:rPr>
          <w:noProof/>
        </w:rPr>
        <w:t>(Zang and Allison, 2007, Suh et al., 2003, Flem</w:t>
      </w:r>
      <w:r>
        <w:rPr>
          <w:rFonts w:ascii="Cambria Math" w:hAnsi="Cambria Math" w:cs="Cambria Math"/>
          <w:noProof/>
        </w:rPr>
        <w:t>‐</w:t>
      </w:r>
      <w:r>
        <w:rPr>
          <w:noProof/>
        </w:rPr>
        <w:t>Karlsen et al., 2017)</w:t>
      </w:r>
      <w:r>
        <w:t xml:space="preserve">. Im Gegensatz zu anderen Mitgliedern der B7 Familie kommt CD276 nicht nur in Antigen präsentierenden Zellen (APC), von Tumor infiltrierten dendritischen Zellen und Monozyten vor, sondern auch in Endothel, tumorassoziierten Fibroblasten und Epithel sowie in weiterem Organgewebe </w:t>
      </w:r>
      <w:r>
        <w:rPr>
          <w:noProof/>
        </w:rPr>
        <w:t>(Seaman et al., 2017, Kraan et al., 2014, Crispen et al., 2008)</w:t>
      </w:r>
      <w:r>
        <w:t xml:space="preserve">. Dort weist es unter anderem auf eine immunmodulatorische Funktion im Bereich von Entzündungen hin </w:t>
      </w:r>
      <w:r>
        <w:rPr>
          <w:noProof/>
        </w:rPr>
        <w:t>(Suh et al., 2003, Chapoval et al., 2001, Seaman et al., 2017, Tran et al., 2008)</w:t>
      </w:r>
      <w:r>
        <w:t>. Initial wurde aufgrund von in vitro Studien davon ausgegangen, dass CD276 einen rein stimulatorischen Effekt auf die Proliferation von CD4</w:t>
      </w:r>
      <w:r>
        <w:rPr>
          <w:vertAlign w:val="superscript"/>
        </w:rPr>
        <w:t>+</w:t>
      </w:r>
      <w:r>
        <w:t xml:space="preserve"> und CD8</w:t>
      </w:r>
      <w:r>
        <w:rPr>
          <w:vertAlign w:val="superscript"/>
        </w:rPr>
        <w:t>+</w:t>
      </w:r>
      <w:r>
        <w:t xml:space="preserve"> T-Zellen hat und die Induktion von zytotoxischen T-Zellen fördert. Außerdem wurde davon ausgegangen, dass CD276 in der Lage ist, selektiv die Produktion von Interferon (IFN)-</w:t>
      </w:r>
      <w:r>
        <w:rPr>
          <w:rFonts w:cs="Arial"/>
        </w:rPr>
        <w:t>γ</w:t>
      </w:r>
      <w:r>
        <w:t xml:space="preserve"> zu fördern </w:t>
      </w:r>
      <w:r>
        <w:rPr>
          <w:noProof/>
        </w:rPr>
        <w:t>(Chapoval et al., 2001)</w:t>
      </w:r>
      <w:r>
        <w:t>. Auch einige in vivo Studien mit CD276-</w:t>
      </w:r>
      <w:r w:rsidRPr="00957497">
        <w:t>negativen Mäusen</w:t>
      </w:r>
      <w:r>
        <w:t xml:space="preserve"> suggerierten einen rein stimulierend wirkenden Effekt von CD276 auf die Immunantwort. So zeigten CD276-negative Mäuse eine merklich reduzierte Produktion von Zytokinen und weniger chronische Abstoßungsreaktionen nach allogenen Transplantationen. Ein weiteres Mausmodel mit allergischem Asthma zeigte nach der Gabe von anti-CD276 monoklonalen Antikörpern eine signifikant reduzierte Hyperaktivität der Atemwege und eine reduzierte Produktion an IL-4, IL-5 und IL-13 (TH2 Zytokin) </w:t>
      </w:r>
      <w:r>
        <w:rPr>
          <w:noProof/>
        </w:rPr>
        <w:t>(Wang et al., 2005, Nagashima et al., 2008)</w:t>
      </w:r>
      <w:r>
        <w:t>. Die Studien stimmen darin überein, dass CD276 an aktivierte CD4</w:t>
      </w:r>
      <w:r>
        <w:rPr>
          <w:vertAlign w:val="superscript"/>
        </w:rPr>
        <w:t>+</w:t>
      </w:r>
      <w:r>
        <w:t xml:space="preserve"> und CD8</w:t>
      </w:r>
      <w:r>
        <w:rPr>
          <w:vertAlign w:val="superscript"/>
        </w:rPr>
        <w:t>+</w:t>
      </w:r>
      <w:r>
        <w:t xml:space="preserve"> positive T-Zellen bindet </w:t>
      </w:r>
      <w:r>
        <w:rPr>
          <w:noProof/>
        </w:rPr>
        <w:t>(Suh et al., 2003, Sun et al., 2002, Chapoval et al., 2001)</w:t>
      </w:r>
      <w:r>
        <w:t xml:space="preserve">. Neuere Studien legen jedoch nahe, dass CD276 an mindestens zwei unterschiedliche Rezeptoren binden kann, da es sowohl eine co-stimulatorische als auch eine co-inhibitorische Wirkung auf die T-Zellen haben kann </w:t>
      </w:r>
      <w:r>
        <w:rPr>
          <w:noProof/>
        </w:rPr>
        <w:t>(Prasad et al., 2004, Suh et al., 2003, Luo et al., 2004)</w:t>
      </w:r>
      <w:r>
        <w:t xml:space="preserve">. Dies führt dazu, dass CD276 einerseits eine Entzündungsreaktion verstärken und andererseits die Immunantwort bei einer Graft-versus-Host-Disease unterdrücken kann </w:t>
      </w:r>
      <w:r>
        <w:rPr>
          <w:noProof/>
        </w:rPr>
        <w:t>(Luo et al., 2015, Veenstra et al., 2015, Zhang et al., 2010)</w:t>
      </w:r>
      <w:r>
        <w:t xml:space="preserve">. CD276 kann eine Inhibition der T-Zellen und hier insbesondere die TH1 bewirken und so auch die Produktion von </w:t>
      </w:r>
      <w:r w:rsidRPr="006D1EF6">
        <w:t>IFN-</w:t>
      </w:r>
      <w:r w:rsidRPr="006D1EF6">
        <w:rPr>
          <w:rFonts w:cs="Arial"/>
        </w:rPr>
        <w:t>γ</w:t>
      </w:r>
      <w:r>
        <w:rPr>
          <w:rFonts w:cs="Arial"/>
        </w:rPr>
        <w:t xml:space="preserve"> hemmen.</w:t>
      </w:r>
      <w:r w:rsidRPr="008F46C7">
        <w:t xml:space="preserve"> </w:t>
      </w:r>
      <w:r>
        <w:t>Es ist anzunehmen, dass die Expression von CD276 durch IFN-</w:t>
      </w:r>
      <w:r>
        <w:rPr>
          <w:rFonts w:cs="Arial"/>
        </w:rPr>
        <w:t xml:space="preserve">γ gefördert und durch das Zytokin IL-4 gehemmt wird. Da das </w:t>
      </w:r>
      <w:r w:rsidRPr="006D1EF6">
        <w:rPr>
          <w:rFonts w:cs="Arial"/>
        </w:rPr>
        <w:t>Zytokin</w:t>
      </w:r>
      <w:r>
        <w:rPr>
          <w:rFonts w:cs="Arial"/>
        </w:rPr>
        <w:t xml:space="preserve"> IFN-γ vorwiegend durch die TH1 Zellen produziert wird und CD276 die TH1-Zellen hemmt, ist von einer Feedback-Inhibition auszugehen, welche regulierend in die Immunreaktion eingreift und diese reduziert </w:t>
      </w:r>
      <w:r>
        <w:rPr>
          <w:rFonts w:cs="Arial"/>
          <w:noProof/>
        </w:rPr>
        <w:t>(Suh et al., 2003)</w:t>
      </w:r>
      <w:r>
        <w:rPr>
          <w:rFonts w:cs="Arial"/>
        </w:rPr>
        <w:t xml:space="preserve">. Auch wenn einzelne Studien davon ausgehen, dass für einzelne Tumorentitäten eine positive Korrelation zwischen der Expression von CD276 und der Prognose besteht </w:t>
      </w:r>
      <w:r>
        <w:rPr>
          <w:rFonts w:cs="Arial"/>
          <w:noProof/>
        </w:rPr>
        <w:t>(Loos et al., 2009)</w:t>
      </w:r>
      <w:r>
        <w:rPr>
          <w:rFonts w:cs="Arial"/>
        </w:rPr>
        <w:t xml:space="preserve">, so wurde in deutlich mehr Studien gezeigt, dass eine hohe Expression von CD276 mit einer weiter fortgeschrittenen Tumorerkrankung und mit einer kürzeren Überlebenszeit einhergeht </w:t>
      </w:r>
      <w:r>
        <w:rPr>
          <w:rFonts w:cs="Arial"/>
          <w:noProof/>
        </w:rPr>
        <w:t>(Wu et al., 2015, Zang et al., 2007, Xu et al., 2018a)</w:t>
      </w:r>
      <w:r>
        <w:rPr>
          <w:rFonts w:cs="Arial"/>
        </w:rPr>
        <w:t xml:space="preserve">. </w:t>
      </w:r>
    </w:p>
    <w:p w14:paraId="5BAE54C1" w14:textId="77777777" w:rsidR="00C85902" w:rsidRDefault="00C85902" w:rsidP="00CA3242">
      <w:r>
        <w:t xml:space="preserve">CD276 spielt jedoch nicht nur eine Rolle in der Regulation des Immunsystems, sondern auch als intrinsischer Regulator von Tumorwachstum, Metastasierung und Tumorprogression beziehungsweise Invasion </w:t>
      </w:r>
      <w:r>
        <w:rPr>
          <w:noProof/>
        </w:rPr>
        <w:t>(Dong et al., 2018)</w:t>
      </w:r>
      <w:r>
        <w:t xml:space="preserve">. Es hat Einfluss auf den Zellmetabolismus und die Glykolyse. CD276-vermittelte Signale führen zum sogenannten Warburg Effekt, bei dem in den Tumorzellen eine verstärkte aerobe Glykolyse stattfindet, um den hohen Energiebedarf der Tumorzellen zu decken </w:t>
      </w:r>
      <w:r>
        <w:rPr>
          <w:noProof/>
        </w:rPr>
        <w:t>(Flem</w:t>
      </w:r>
      <w:r>
        <w:rPr>
          <w:rFonts w:ascii="Cambria Math" w:hAnsi="Cambria Math" w:cs="Cambria Math"/>
          <w:noProof/>
        </w:rPr>
        <w:t>‐</w:t>
      </w:r>
      <w:r>
        <w:rPr>
          <w:noProof/>
        </w:rPr>
        <w:t>Karlsen et al., 2017, Lim et al., 2016, Li et al., 2019)</w:t>
      </w:r>
      <w:r>
        <w:t xml:space="preserve">. </w:t>
      </w:r>
      <w:r w:rsidRPr="00A013FF">
        <w:t xml:space="preserve">CD276 wird in Tumorentitäten wie Darm-, Lunge- und Brusttumoren exprimiert aber auch </w:t>
      </w:r>
      <w:r>
        <w:t xml:space="preserve">in </w:t>
      </w:r>
      <w:r w:rsidRPr="00A013FF">
        <w:t>Endothelzellen von Tumorgefäßen in Nieren-, Blasen- und Prostatatumoren</w:t>
      </w:r>
      <w:r>
        <w:t xml:space="preserve">, was darauf hindeutet, dass CD276 im Zusammenhang mit der Tumor Neoangiogenese steht </w:t>
      </w:r>
      <w:r>
        <w:rPr>
          <w:noProof/>
        </w:rPr>
        <w:t>(Maeda et al., 2014, Arigami et al., 2010, Ingebrigtsen et al., 2012)</w:t>
      </w:r>
      <w:r>
        <w:t xml:space="preserve"> </w:t>
      </w:r>
      <w:r>
        <w:rPr>
          <w:noProof/>
        </w:rPr>
        <w:t>(Xylinas et al., 2014b)</w:t>
      </w:r>
      <w:r>
        <w:t xml:space="preserve"> </w:t>
      </w:r>
      <w:r>
        <w:rPr>
          <w:noProof/>
        </w:rPr>
        <w:t>(Zang et al., 2007)</w:t>
      </w:r>
      <w:r>
        <w:t xml:space="preserve">. Weitere Studien konnten detailliertere Zusammenhänge zwischen der Höhe der CD276 Expression in Gefäßendothelien und der Mortalität in Abhängigkeit weiterer Faktoren ermitteln </w:t>
      </w:r>
      <w:r>
        <w:rPr>
          <w:noProof/>
        </w:rPr>
        <w:t>(Kasten et al., 2017, Inamura et al., 2019)</w:t>
      </w:r>
      <w:r>
        <w:t xml:space="preserve">. CD276 wird zusätzlich in niedrigen Konzentrationen auch in gesunden Zellen und Gewebe wie Osteo- und Fibroblasten, Epithelzellen, Leber-, Lungen-, Blasen-, Placenta-, Prostata- und Lungenzellen exprimiert. In verschiedenen Tumorgeweben, wie beispielsweise Blasenkrebs, klarzelligen Nierenkarzinom, Brustkrebs, Zervixkarzinom, Kolorektalkarzinomen und vielen weiteren Tumoren sind jedoch deutlich höhere Konzentrationen von CD276 zu finden. Eine hohe Expression an CD276 verschlechtert oftmals deutlich die Prognose der betroffenen Krebspatienten durch gesteigerte Metastasierung und verringertes Überleben </w:t>
      </w:r>
      <w:r>
        <w:rPr>
          <w:noProof/>
        </w:rPr>
        <w:t>(Wu et al., 2015, Xu et al., 2018a, Xylinas et al., 2014a, Zang et al., 2007)</w:t>
      </w:r>
      <w:r w:rsidRPr="003103A8">
        <w:t xml:space="preserve"> </w:t>
      </w:r>
    </w:p>
    <w:p w14:paraId="49F66A05" w14:textId="77777777" w:rsidR="00C85902" w:rsidRDefault="00C85902" w:rsidP="00634600">
      <w:pPr>
        <w:pStyle w:val="berschrift3"/>
      </w:pPr>
      <w:bookmarkStart w:id="20" w:name="_Toc121158644"/>
      <w:r>
        <w:t>Klinische Relevanz</w:t>
      </w:r>
      <w:bookmarkEnd w:id="20"/>
      <w:r>
        <w:t xml:space="preserve"> </w:t>
      </w:r>
    </w:p>
    <w:p w14:paraId="0D4E2FF7" w14:textId="77777777" w:rsidR="00C85902" w:rsidRPr="001C0371" w:rsidRDefault="00C85902" w:rsidP="00CA5455">
      <w:r w:rsidRPr="001C0371">
        <w:t>Auch in der Zukunft werden die Chirurgie, die Radiotherapie und die Chemotherapie als Therapieoptionen für die Behandlung von Krebs eine wichtige Rolle spielen</w:t>
      </w:r>
      <w:r>
        <w:t>. D</w:t>
      </w:r>
      <w:r w:rsidRPr="001C0371">
        <w:t>as Thema der individualisierten Medizin wird</w:t>
      </w:r>
      <w:r>
        <w:t xml:space="preserve"> jedoch</w:t>
      </w:r>
      <w:r w:rsidRPr="001C0371">
        <w:t xml:space="preserve"> eine zunehmend wichtigere Rolle spielen, um Menschen mit Tumorerkrankungen noch bessere Therapieoptionen und eine bessere Prognose zu ermöglichen</w:t>
      </w:r>
      <w:r>
        <w:t xml:space="preserve"> </w:t>
      </w:r>
      <w:r>
        <w:rPr>
          <w:noProof/>
        </w:rPr>
        <w:t>(Jackson and Chester, 2015)</w:t>
      </w:r>
      <w:r w:rsidRPr="001C0371">
        <w:t>. Ein erster Schritt war die Entwicklung der Immuncheckpointinhibitoren PDL-1/PD1 und CTLA-4, welche</w:t>
      </w:r>
      <w:r>
        <w:t xml:space="preserve"> sich</w:t>
      </w:r>
      <w:r w:rsidRPr="001C0371">
        <w:t xml:space="preserve"> bereits bei bestimmten Krebsformen sich in der Therapie etabliert haben</w:t>
      </w:r>
      <w:r>
        <w:t xml:space="preserve">, jedoch </w:t>
      </w:r>
      <w:r w:rsidRPr="001C0371">
        <w:t>nicht für die Behandlung jeder Tumorart zur Verfügung stehen</w:t>
      </w:r>
      <w:r>
        <w:t xml:space="preserve">. </w:t>
      </w:r>
      <w:r w:rsidRPr="001C0371">
        <w:t>Die Nutzung der monoklonalen</w:t>
      </w:r>
      <w:r>
        <w:t xml:space="preserve"> anti-</w:t>
      </w:r>
      <w:r w:rsidRPr="001C0371">
        <w:t>PD-1</w:t>
      </w:r>
      <w:r>
        <w:t>,</w:t>
      </w:r>
      <w:r w:rsidRPr="001C0371">
        <w:t xml:space="preserve"> b</w:t>
      </w:r>
      <w:r>
        <w:t>eziehungsweise</w:t>
      </w:r>
      <w:r w:rsidRPr="001C0371">
        <w:t xml:space="preserve"> </w:t>
      </w:r>
      <w:r>
        <w:t>anti-</w:t>
      </w:r>
      <w:r w:rsidRPr="001C0371">
        <w:t>PDL-1 Antikörper hat sich in der Therapie des metastasierten Blasenkarzinoms bei PatientInnen mit positiven PDL-1 Status, die nicht für eine Therapie</w:t>
      </w:r>
      <w:r>
        <w:t xml:space="preserve"> mit Cisplatin geeignet sind oder nach erfolgter Chemotherapie einen Progress erleiden und eine Zweitherapie benötigen, bereits etabliert </w:t>
      </w:r>
      <w:r>
        <w:rPr>
          <w:noProof/>
        </w:rPr>
        <w:t>(Massard et al., 2016, Patel et al., 2018, Sharma et al., 2016)</w:t>
      </w:r>
      <w:r w:rsidRPr="001C0371">
        <w:t>. Es sprechen jedoch nicht alle Patienten auf die Immuntherapie an</w:t>
      </w:r>
      <w:r>
        <w:t>. E</w:t>
      </w:r>
      <w:r w:rsidRPr="001C0371">
        <w:t xml:space="preserve">in Teil der Patienten zeigt einen Progress unter der Therapie. Dies </w:t>
      </w:r>
      <w:r>
        <w:t>unterstreicht</w:t>
      </w:r>
      <w:r w:rsidRPr="001C0371">
        <w:t xml:space="preserve"> die Notwendigkeit der Erforschung der Pathomechanismen bei der Tumorentstehung und </w:t>
      </w:r>
      <w:r>
        <w:t>der</w:t>
      </w:r>
      <w:r w:rsidRPr="001C0371">
        <w:t xml:space="preserve"> Identifikation von weiteren Tumormarkern sowie -genen und </w:t>
      </w:r>
      <w:r>
        <w:t xml:space="preserve">der </w:t>
      </w:r>
      <w:r w:rsidRPr="001C0371">
        <w:t>Etablierung neuer Therapieansätze</w:t>
      </w:r>
      <w:r>
        <w:t>.</w:t>
      </w:r>
      <w:r w:rsidRPr="001C0371">
        <w:t xml:space="preserve"> </w:t>
      </w:r>
      <w:r>
        <w:t>In einem zweiten</w:t>
      </w:r>
      <w:r w:rsidRPr="001C0371">
        <w:t xml:space="preserve"> Schritt </w:t>
      </w:r>
      <w:r>
        <w:t>müssen anschließend</w:t>
      </w:r>
      <w:r w:rsidRPr="001C0371">
        <w:t xml:space="preserve"> die Nutzbarkeit </w:t>
      </w:r>
      <w:r>
        <w:t xml:space="preserve">neuer Tumormarker </w:t>
      </w:r>
      <w:r w:rsidRPr="001C0371">
        <w:t>für eine Therapie geprüft und Pharmaka für diesen Zweck entwickelt und erprobt werden.</w:t>
      </w:r>
    </w:p>
    <w:p w14:paraId="0B92CAA9" w14:textId="3E7CB43C" w:rsidR="00C85902" w:rsidRPr="00DD143D" w:rsidRDefault="00C85902" w:rsidP="00CA5455">
      <w:r w:rsidRPr="001C0371">
        <w:t>CD276 als Vertreter der B7-Familie ist ein vielversprechender Marker für das Screening sowie Ansatzpunkt in der Therapie bei vielen Tumorerkrankungen</w:t>
      </w:r>
      <w:r>
        <w:t>,</w:t>
      </w:r>
      <w:r w:rsidRPr="001C0371">
        <w:t xml:space="preserve"> unter anderem auch Blasenkrebs</w:t>
      </w:r>
      <w:r>
        <w:t xml:space="preserve"> </w:t>
      </w:r>
      <w:r>
        <w:rPr>
          <w:noProof/>
        </w:rPr>
        <w:t>(Ni and Dong, 2017)</w:t>
      </w:r>
      <w:r>
        <w:t>.</w:t>
      </w:r>
      <w:r w:rsidRPr="00D34E13">
        <w:t xml:space="preserve"> </w:t>
      </w:r>
      <w:r>
        <w:t xml:space="preserve">Die verstärkte Expression von CD276 in Tumoren wie auch in Tumorgefäßen bietet die Möglichkeit eines potentiellen Biomarkers und ist ein vielversprechender neuer Therapieansatzpunkt </w:t>
      </w:r>
      <w:r>
        <w:rPr>
          <w:noProof/>
        </w:rPr>
        <w:t>(Liu et al., 2021, Xu et al., 2018b, Ingebrigtsen et al., 2012, Ni and Dong, 2017)</w:t>
      </w:r>
      <w:r>
        <w:t xml:space="preserve">. CD276 ist bei hoher Expression in der Lage, das Ansprechen auf eine Anti-Tumor Therapie zu senken </w:t>
      </w:r>
      <w:r>
        <w:rPr>
          <w:noProof/>
        </w:rPr>
        <w:t>(Liu et al., 2019b, Flem-Karlsen et al., 2019, Flem</w:t>
      </w:r>
      <w:r>
        <w:rPr>
          <w:rFonts w:ascii="Cambria Math" w:hAnsi="Cambria Math" w:cs="Cambria Math"/>
          <w:noProof/>
        </w:rPr>
        <w:t>‐</w:t>
      </w:r>
      <w:r>
        <w:rPr>
          <w:noProof/>
        </w:rPr>
        <w:t>Karlsen et al., 2017)</w:t>
      </w:r>
      <w:r>
        <w:t xml:space="preserve">. Darum ist unter anderem auch die Blockade von CD276 interessant, um die Effizienz der bereits bestehenden Krebstherapien zu erhöhen </w:t>
      </w:r>
      <w:r>
        <w:rPr>
          <w:noProof/>
        </w:rPr>
        <w:t>(Seaman et al., 2017)</w:t>
      </w:r>
      <w:r>
        <w:t xml:space="preserve">. </w:t>
      </w:r>
      <w:r w:rsidRPr="001C0371">
        <w:t>Erste Daten von Studien mit monoklonalen Antikörpern gegen CD276 zeig</w:t>
      </w:r>
      <w:r>
        <w:t>t</w:t>
      </w:r>
      <w:r w:rsidRPr="001C0371">
        <w:t>en bereits vielversprechende Ergebnisse</w:t>
      </w:r>
      <w:r>
        <w:t xml:space="preserve"> </w:t>
      </w:r>
      <w:r>
        <w:rPr>
          <w:noProof/>
        </w:rPr>
        <w:t>(Ahmed et al., 2015, Loo et al., 2012, Powderly et al., 2015)</w:t>
      </w:r>
      <w:r>
        <w:t xml:space="preserve">. </w:t>
      </w:r>
      <w:r w:rsidRPr="001C0371">
        <w:t xml:space="preserve">Es muss </w:t>
      </w:r>
      <w:r>
        <w:t xml:space="preserve">jedoch </w:t>
      </w:r>
      <w:r w:rsidRPr="001C0371">
        <w:t>weiter Grundlagenforschung betrieben werden</w:t>
      </w:r>
      <w:r>
        <w:t xml:space="preserve">, </w:t>
      </w:r>
      <w:r w:rsidRPr="001C0371">
        <w:t>um modulierende Faktoren der Expression von CD276 und Rezeptorinteraktionen zu erkennen</w:t>
      </w:r>
      <w:r w:rsidRPr="0075115A">
        <w:t xml:space="preserve"> </w:t>
      </w:r>
      <w:r w:rsidRPr="001C0371">
        <w:t>und</w:t>
      </w:r>
      <w:r w:rsidRPr="0075115A">
        <w:t xml:space="preserve"> </w:t>
      </w:r>
      <w:r>
        <w:t>um</w:t>
      </w:r>
      <w:r w:rsidRPr="001C0371">
        <w:t xml:space="preserve"> eine </w:t>
      </w:r>
      <w:r>
        <w:t>z</w:t>
      </w:r>
      <w:r w:rsidRPr="001C0371">
        <w:t>ielgerichtete Therapie zu entwickeln. D</w:t>
      </w:r>
      <w:r>
        <w:t xml:space="preserve">ie Untersuchung von externen Einflussfaktoren, wie beispielsweise Urogenitaleinfektionen, auf die CD276 Expression bei Blasenkrebs </w:t>
      </w:r>
      <w:r w:rsidRPr="001C0371">
        <w:t>ermöglicht eine präzisere Vorhersage über das Therapieansprechen und auch den Ausschluss von falsch-negativen oder falsch-positiven</w:t>
      </w:r>
      <w:r>
        <w:t xml:space="preserve"> CD276</w:t>
      </w:r>
      <w:r w:rsidRPr="001C0371">
        <w:t xml:space="preserve"> Expressionswerten.</w:t>
      </w:r>
    </w:p>
    <w:p w14:paraId="19756427" w14:textId="77777777" w:rsidR="00C85902" w:rsidRDefault="00C85902" w:rsidP="008C19D4">
      <w:pPr>
        <w:pStyle w:val="berschrift2"/>
      </w:pPr>
      <w:bookmarkStart w:id="21" w:name="_Toc121158645"/>
      <w:r>
        <w:t>Eigenschaften</w:t>
      </w:r>
      <w:r w:rsidRPr="008817A9">
        <w:t xml:space="preserve"> </w:t>
      </w:r>
      <w:r>
        <w:t>von Mykoplasmen sowie Nachweis und Therapie</w:t>
      </w:r>
      <w:bookmarkEnd w:id="21"/>
    </w:p>
    <w:p w14:paraId="478FECD5" w14:textId="77777777" w:rsidR="00C85902" w:rsidRDefault="00C85902" w:rsidP="000F4A34">
      <w:r>
        <w:t xml:space="preserve">Dieser Teil der Einleitung geht sowohl auf die allgemeinen Eigenschaften als auch auf das kanzerogene Potential von Mykoplasmen ein. Es wird außerdem der Nachweis, das Screening und die Therapie bei einer Erkrankung kurz zusammengefasst. Zusätzlich wird auf die klinische Relevanz, die sich aus einer Langzeitinfektion mit Mykoplasmen ergibt, eingegangen. </w:t>
      </w:r>
    </w:p>
    <w:p w14:paraId="777D77D9" w14:textId="77777777" w:rsidR="00C85902" w:rsidRPr="000F4A34" w:rsidRDefault="00C85902" w:rsidP="000F4A34">
      <w:pPr>
        <w:pStyle w:val="berschrift3"/>
      </w:pPr>
      <w:bookmarkStart w:id="22" w:name="_Toc121158646"/>
      <w:r>
        <w:t>Eigenschaften und Nachweis</w:t>
      </w:r>
      <w:bookmarkEnd w:id="22"/>
      <w:r>
        <w:t xml:space="preserve"> </w:t>
      </w:r>
    </w:p>
    <w:p w14:paraId="236BC32F" w14:textId="77777777" w:rsidR="00C85902" w:rsidRDefault="00C85902" w:rsidP="00080FCA">
      <w:r>
        <w:t>Bei Mykoplasmen handelt es sich um Prokaryonten,</w:t>
      </w:r>
      <w:r w:rsidRPr="00FC153F">
        <w:t xml:space="preserve"> </w:t>
      </w:r>
      <w:r>
        <w:t xml:space="preserve">die taxonomisch in die Klasse der Mollicutes („Weichhäutigen“) zusammengefasst werden. Die Gattung Mykoplasma ist Teil der Familie der Mycoplasmataceae und besteht aus ca. 100 Spezies, von denen beim Menschen bisher 16 Mykoplasma spp. isoliert werden konnten </w:t>
      </w:r>
      <w:r>
        <w:rPr>
          <w:noProof/>
        </w:rPr>
        <w:t>(Abele-Horn, 2004)</w:t>
      </w:r>
      <w:r>
        <w:t>. Mykoplasmen weisen durchschnittlich eine Zellgröße von 0,3 bis 0,8</w:t>
      </w:r>
      <w:r w:rsidRPr="00F25BD3">
        <w:rPr>
          <w:w w:val="50"/>
        </w:rPr>
        <w:t> </w:t>
      </w:r>
      <w:r>
        <w:rPr>
          <w:rFonts w:cs="Arial"/>
        </w:rPr>
        <w:t>µ</w:t>
      </w:r>
      <w:r>
        <w:t xml:space="preserve">m auf </w:t>
      </w:r>
      <w:r>
        <w:rPr>
          <w:noProof/>
        </w:rPr>
        <w:t>(Abele-Horn, 2004)</w:t>
      </w:r>
      <w:r>
        <w:t>. Aufgrund ihres sehr kleinen Genoms mit 580 bis 2200</w:t>
      </w:r>
      <w:r w:rsidRPr="00F25BD3">
        <w:rPr>
          <w:w w:val="50"/>
        </w:rPr>
        <w:t> </w:t>
      </w:r>
      <w:r>
        <w:t xml:space="preserve">kbp verfügen sie über eine eingeschränkte Enzymausstattung, die sie in ihren Stoffwechselprozessen einschränkt. Im Vergleich dazu haben andere Bakterien, wie beispielsweise E. coli, eine Genomgröße von 4700kbp </w:t>
      </w:r>
      <w:r>
        <w:rPr>
          <w:noProof/>
        </w:rPr>
        <w:t>(Trevors, 1996)</w:t>
      </w:r>
      <w:r>
        <w:t xml:space="preserve">. Mykoplasmen kommen als extrazelluläre an der Epitelzellenoberfläche anhaftende Parasiten oder fakultativ intrazelluläre Mikroorganismen vor </w:t>
      </w:r>
      <w:r>
        <w:rPr>
          <w:noProof/>
        </w:rPr>
        <w:t>(Abele-Horn, 2004, Neumann et al., 2010)</w:t>
      </w:r>
      <w:r>
        <w:t xml:space="preserve">. Bei Parasiten handelt es sich um Lebewesen, welche auf Kosten anderer Spezies leben. Bei Mykoplasmen bedeutet dies konkret, dass sie durch die Anhaftung an der Epithelzelloberfläche und/oder fakultativ intrazelluläre Infektion der Wirtszelle für sich eine optimale Versorgung mit Aminosäuren, Cholesterin und Fettsäuren gewährleisten </w:t>
      </w:r>
      <w:r>
        <w:rPr>
          <w:noProof/>
        </w:rPr>
        <w:t>(Staats et al., 2007)</w:t>
      </w:r>
      <w:r>
        <w:t>. Da sie abhängig von einem Wirt sind, weisen sie aber auch ein deutlich langsameres Wachstum auf und sind auch gegenüber Umwelteinflüssen deutlich empfindlicher. Mykoplasmen besitzen eine Zytoplasmamembran, aber keine Zellwand wodurch sie eine primäre ß-Laktamantibiotika Resistenz aufweisen und keine Gram-Färbung als Nachweis möglich ist. Diese primäre Resistenz in Kombination mit ihrer sehr langsamen Proliferation erschwert die in vitro Anzucht für den Nachweis. Man unterscheidet zwischen den respiratorischen und den urogenitalen Mykoplasmen. Je nach Lokalisation weisen die Erreger unterschiedliche morphologische wie auch pathogene Aspekte auf.</w:t>
      </w:r>
      <w:r w:rsidRPr="00B41DC4">
        <w:t xml:space="preserve"> </w:t>
      </w:r>
      <w:r>
        <w:t xml:space="preserve">Während M. pneumoniae im Respirationstrakt nur als Krankheitserreger und Auslöser von Tracheobronchitis und teilweise der primär atypischen interstitiellen Pneumonie gilt, kommen M. genitalium und M. hominis im Urogenitaltrakt sowohl als pathogene als auch als kolonisierende Erreger vor und sind somit als fakultativ pathogen einzustufen </w:t>
      </w:r>
      <w:r>
        <w:rPr>
          <w:noProof/>
        </w:rPr>
        <w:t>(Manhart et al., 2003, Boujemaa et al., 2018, Waites and Talkington, 2004)</w:t>
      </w:r>
      <w:r>
        <w:t>.</w:t>
      </w:r>
    </w:p>
    <w:p w14:paraId="782BA595" w14:textId="77777777" w:rsidR="00C85902" w:rsidRDefault="00C85902" w:rsidP="00594142">
      <w:r>
        <w:t xml:space="preserve">Aufgrund moderner molekularbiologischer Nachweisverfahren, wie beispielsweise dem Nukleinsäurenamplifikationstest, hat in den letzten Jahren die Zahl der nachgewiesenen Infektionen mit M. genitalium zugenommen. Auch geht man aufgrund von Studien von einem nachgewiesenen Zusammenhang zwischen Infektion mit Mykoplasmen und der nicht-gonorrhoischen Urethritis und einem wahrscheinlichen Zusammenhang mit der Zervizitis sowie der pelvic inflammatory disease (PID) aus. Letztere hat als mögliche Folge eine Infertilität </w:t>
      </w:r>
      <w:r>
        <w:rPr>
          <w:noProof/>
        </w:rPr>
        <w:t>(Clausen et al., 2001)</w:t>
      </w:r>
      <w:r>
        <w:t>. Dies führt dazu, dass M. genitalium, welches bei 1 bis 3% der Normalbevölkerung und bei bis zu 35% in Risikopopulationen (z.B. bei HIV-infizierten und MSM) nachzuweisen ist, von Klinikern zunehmend als pathogen eingestuft wird. M. hominis, welches vorwiegend auf den Epithelzellen des Urogenitaltraktes von Frauen zu finden sind, können sowohl durch sexuelle Kontakte, insbesondere bei häufigem Partnerwechsel, als auch über Schmierinfektionen während der Geburt übertragen werden und können in diesem Fall bei Neugeborenen im Respirationstrakt nachgewiesen werden. M. hominis ist bei 1</w:t>
      </w:r>
      <w:r w:rsidRPr="00F25BD3">
        <w:rPr>
          <w:w w:val="50"/>
        </w:rPr>
        <w:t> </w:t>
      </w:r>
      <w:r>
        <w:t>% der sexuell abstinenten Personen und bei bis zu 60</w:t>
      </w:r>
      <w:r w:rsidRPr="00F25BD3">
        <w:rPr>
          <w:w w:val="50"/>
        </w:rPr>
        <w:t> </w:t>
      </w:r>
      <w:r>
        <w:t>% der Prostituierten nachweisbar. M. hominis kann zu einer Urethritis, Prostatitis, Zervizitis und Salpingitis führen. Es wird aber auch bei bis zu 80</w:t>
      </w:r>
      <w:r w:rsidRPr="00F25BD3">
        <w:rPr>
          <w:w w:val="50"/>
        </w:rPr>
        <w:t> </w:t>
      </w:r>
      <w:r>
        <w:t xml:space="preserve">% der asymptomatischen Patienten nachgewiesen, was dazu führt, dass eine abschließende klinische Bewertung nicht möglich ist </w:t>
      </w:r>
      <w:r>
        <w:rPr>
          <w:noProof/>
        </w:rPr>
        <w:t>(Dumke and Jacobs, 2020)</w:t>
      </w:r>
      <w:r>
        <w:t>.</w:t>
      </w:r>
    </w:p>
    <w:p w14:paraId="3D7C3838" w14:textId="77777777" w:rsidR="00C85902" w:rsidRDefault="00C85902" w:rsidP="00080FCA">
      <w:r>
        <w:t xml:space="preserve">Der Labornachweis von Mykoplasmen im Urogenitaltrakt ist durch einen urogenitalen Abstrich und durch eine Analyse des ersten Urinstrahls möglich </w:t>
      </w:r>
      <w:r>
        <w:rPr>
          <w:noProof/>
        </w:rPr>
        <w:t>(Jensen et al., 2004)</w:t>
      </w:r>
      <w:r>
        <w:t xml:space="preserve">. </w:t>
      </w:r>
    </w:p>
    <w:p w14:paraId="6185962E" w14:textId="77777777" w:rsidR="00C85902" w:rsidRDefault="00C85902" w:rsidP="0014705B">
      <w:pPr>
        <w:pStyle w:val="berschrift3"/>
      </w:pPr>
      <w:bookmarkStart w:id="23" w:name="_Toc121158647"/>
      <w:r>
        <w:t>Screening und Therapie von Mykoplasmeninfektionen</w:t>
      </w:r>
      <w:bookmarkEnd w:id="23"/>
    </w:p>
    <w:p w14:paraId="5CDF5ABF" w14:textId="5AF8E44E" w:rsidR="00C85902" w:rsidRDefault="00C85902" w:rsidP="001B5315">
      <w:r>
        <w:t xml:space="preserve">Da sich bei vielen Menschen im Urogenitaltrakt eine </w:t>
      </w:r>
      <w:r w:rsidRPr="00E46D37">
        <w:t>Kolonisation</w:t>
      </w:r>
      <w:r>
        <w:t xml:space="preserve"> (das heißt eine Besiedlung mit einer geringen Keimzahl, ohne klinische Merkmale einer Infektion bzw. bei fehlender Immunantwort) mit Mykoplasmen nachweisen lässt, diese aber auch oft für die Betroffenen ohne Krankheitswert ist, ist eine generelle Abklärung des Infektionsstatus nicht bei jedem Patienten sinnvoll. Empfohlen ist ein jährliches Screening, vor allem für junge und sexuell aktive Frauen, die ein Risikoverhalten haben oder bereits sexuell übertragbare Krankheiten in der Vorgeschichte aufweisen. Heterosexuelle Männer werden nicht routinemäßig gescreent, es sei denn, sie weisen Risikofaktoren wie beispielsweise wechselnde Sexualpartner oder andere sexuell übertragbare Krankheiten auf. Männer, die Sex mit Männern (MSM) haben, werden, sofern sie innerhalb der letzten 12 Monate sexuell aktiv waren, mindestens einmal jährlich gescreent. Liegt </w:t>
      </w:r>
      <w:r w:rsidR="000B09B0">
        <w:t>bei einem Patienten</w:t>
      </w:r>
      <w:r>
        <w:t xml:space="preserve"> eine Infektion mit HIV vor, sollte eine Untersuchung alle 3- 6 Monate stattfinden </w:t>
      </w:r>
      <w:r>
        <w:rPr>
          <w:noProof/>
        </w:rPr>
        <w:t>(Morris, 2019)</w:t>
      </w:r>
      <w:r>
        <w:t>.</w:t>
      </w:r>
    </w:p>
    <w:p w14:paraId="7FA92AC6" w14:textId="77777777" w:rsidR="00C85902" w:rsidRDefault="00C85902" w:rsidP="00080FCA">
      <w:r>
        <w:t xml:space="preserve">Da Mykoplasmen eine primäre Resistenz gegen alle Makrolide besitzen und eine zunehmende Resistenz gegen weitere Antibiotika besteht, sollte bei Vorliegen einer gesicherten symptomatischen Infektion und nach Ausschluss anderer sexuell übertragbare Krankheiten (z.B. Chlamydien und Gonorrhö) eine Resistenztestung vor Therapiebeginn stattfinden, um eine gezielte Therapie zu beginnen </w:t>
      </w:r>
      <w:r>
        <w:rPr>
          <w:noProof/>
        </w:rPr>
        <w:t>(Bonkat et al., 2022, Manhart et al., 2015, Jensen et al., 2016)</w:t>
      </w:r>
      <w:r>
        <w:t xml:space="preserve">. </w:t>
      </w:r>
    </w:p>
    <w:p w14:paraId="17DAE285" w14:textId="77777777" w:rsidR="00C85902" w:rsidRDefault="00C85902" w:rsidP="007F7E74">
      <w:pPr>
        <w:pStyle w:val="berschrift3"/>
      </w:pPr>
      <w:bookmarkStart w:id="24" w:name="_Toc121158648"/>
      <w:r>
        <w:t>Klinische Relevanz von Langzeit Infektionen mit Mykoplasmen</w:t>
      </w:r>
      <w:bookmarkEnd w:id="24"/>
      <w:r>
        <w:t xml:space="preserve"> </w:t>
      </w:r>
    </w:p>
    <w:p w14:paraId="4330D412" w14:textId="77777777" w:rsidR="00C85902" w:rsidRDefault="00C85902" w:rsidP="00B34BF2">
      <w:pPr>
        <w:rPr>
          <w:highlight w:val="yellow"/>
        </w:rPr>
      </w:pPr>
      <w:r w:rsidRPr="003C143B">
        <w:t xml:space="preserve">Ein kausaler oder ko-faktorieller Zusammenhang zwischen einer Infektion und dem Auftreten von verschiedenen Krebsarten ist bei vielen Viren und Bakterien bereits bekannt. Zu den prominentesten Beispielen gehören Viren wie EBV, Hepatitis B-Virus, HPV und Bakterien wie Salmonella Typhi und Helicobacter Pylori </w:t>
      </w:r>
      <w:r>
        <w:rPr>
          <w:noProof/>
        </w:rPr>
        <w:t>(Marshall and Windsor, 2005, Parkin, 2006, Vogelmann and Amieva, 2007)</w:t>
      </w:r>
      <w:r>
        <w:t>.</w:t>
      </w:r>
      <w:r w:rsidRPr="003C143B">
        <w:t xml:space="preserve"> Insbesondere für Helicobacter Pylori ist der Zusammenhang zwischen einer </w:t>
      </w:r>
      <w:r>
        <w:t>Langzeiti</w:t>
      </w:r>
      <w:r w:rsidRPr="003C143B">
        <w:t>nfektion und dem Auftreten von Magenkrebs besonders gut beschrieben</w:t>
      </w:r>
      <w:r>
        <w:t xml:space="preserve"> </w:t>
      </w:r>
      <w:r>
        <w:rPr>
          <w:noProof/>
        </w:rPr>
        <w:t>(Marshall and Windsor, 2005, Touati, 2010)</w:t>
      </w:r>
      <w:r>
        <w:t>.</w:t>
      </w:r>
      <w:r>
        <w:rPr>
          <w:highlight w:val="yellow"/>
        </w:rPr>
        <w:t xml:space="preserve"> </w:t>
      </w:r>
    </w:p>
    <w:p w14:paraId="43448284" w14:textId="77777777" w:rsidR="00C85902" w:rsidRPr="0023200A" w:rsidRDefault="00C85902" w:rsidP="007F7E74">
      <w:r w:rsidRPr="003C143B">
        <w:t xml:space="preserve">Feng et al. zeigten bereits 1999, dass Mykoplasmen infizierte 32D </w:t>
      </w:r>
      <w:r>
        <w:t>h</w:t>
      </w:r>
      <w:r w:rsidRPr="003C143B">
        <w:t>ämatopoetischen</w:t>
      </w:r>
      <w:r>
        <w:t xml:space="preserve"> Zellen</w:t>
      </w:r>
      <w:r w:rsidRPr="003C143B">
        <w:t xml:space="preserve"> ihre Zelleigenschaften änderten</w:t>
      </w:r>
      <w:r>
        <w:t xml:space="preserve">, </w:t>
      </w:r>
      <w:r w:rsidRPr="003C143B">
        <w:t xml:space="preserve">ein autonomes Wachstum entwickelten </w:t>
      </w:r>
      <w:r>
        <w:t xml:space="preserve">und </w:t>
      </w:r>
      <w:r w:rsidRPr="003C143B">
        <w:t>sich vor Apoptose zu schütz</w:t>
      </w:r>
      <w:r>
        <w:t>t</w:t>
      </w:r>
      <w:r w:rsidRPr="003C143B">
        <w:t xml:space="preserve">en </w:t>
      </w:r>
      <w:r w:rsidRPr="003C143B">
        <w:rPr>
          <w:noProof/>
        </w:rPr>
        <w:t>(Feng et al., 1999)</w:t>
      </w:r>
      <w:r w:rsidRPr="003C143B">
        <w:t xml:space="preserve">. Paton et al. zeigten, dass die Infektion mit Mykoplasma orale bei WJ-38 Stammzellen einer embryonalen Lunge zu </w:t>
      </w:r>
      <w:r>
        <w:t>c</w:t>
      </w:r>
      <w:r w:rsidRPr="003C143B">
        <w:t xml:space="preserve">hromosomalen Veränderungen und einer Verlangsamung des Zellwachstums führt </w:t>
      </w:r>
      <w:r>
        <w:rPr>
          <w:noProof/>
        </w:rPr>
        <w:t>(Paton et al., 1965)</w:t>
      </w:r>
      <w:r>
        <w:t>.</w:t>
      </w:r>
      <w:r w:rsidRPr="003C143B">
        <w:t xml:space="preserve"> Auch andere Arbeiten zeigten, dass eine chronische Infektion von Zellkulturen mit Mykoplasmen durch Suppression der p53 Aktivität und Aktivierung von NF-</w:t>
      </w:r>
      <w:r w:rsidRPr="003C143B">
        <w:rPr>
          <w:rFonts w:cs="Arial"/>
        </w:rPr>
        <w:t>κ</w:t>
      </w:r>
      <w:r w:rsidRPr="003C143B">
        <w:t xml:space="preserve">B zu einer genetischen Instabilität und bösartigen Transformation führen kann </w:t>
      </w:r>
      <w:r>
        <w:rPr>
          <w:noProof/>
        </w:rPr>
        <w:t>(Borchsenius et al., 2018, Feng et al., 1999, Namiki et al., 2009, Logunov et al., 2008)</w:t>
      </w:r>
      <w:r w:rsidRPr="00C718BA">
        <w:t xml:space="preserve">. In vivo kann die Infektion mit Mykoplasmen die Metastasierung von einigen menschlichen Tumorzellen steigern </w:t>
      </w:r>
      <w:r>
        <w:rPr>
          <w:noProof/>
        </w:rPr>
        <w:t>(Namiki et al., 2009, Tsai et al., 1995, Gong et al., 2008)</w:t>
      </w:r>
      <w:r>
        <w:t xml:space="preserve">. Eine weitere negative Eigenschaft von Mykoplasmen ist, dass sie zu einem schlechteren Ansprechen auf eine Anti-Tumor Therapie führen können. Dies geschieht einerseits über eine Resistenz gegen Antikrebs Medikamente und andererseits über eine Unterdrückung der natürlichen Killer Zellen </w:t>
      </w:r>
      <w:r>
        <w:rPr>
          <w:noProof/>
        </w:rPr>
        <w:t>(Zella et al., 2018)</w:t>
      </w:r>
      <w:r>
        <w:t xml:space="preserve">. </w:t>
      </w:r>
    </w:p>
    <w:p w14:paraId="364FE2D6" w14:textId="77777777" w:rsidR="00C85902" w:rsidRPr="00761802" w:rsidRDefault="00C85902" w:rsidP="007F7E74">
      <w:pPr>
        <w:rPr>
          <w:highlight w:val="cyan"/>
        </w:rPr>
      </w:pPr>
      <w:r w:rsidRPr="00C718BA">
        <w:t xml:space="preserve">Bereits in den 50er Jahren gab es erste Vermutungen bezüglich des Zusammenhanges zwischen urogenitaler Mykoplasmen Infektion und dem Prostatakarzinom </w:t>
      </w:r>
      <w:r>
        <w:rPr>
          <w:noProof/>
        </w:rPr>
        <w:t>(Steele et al., 1971)</w:t>
      </w:r>
      <w:r>
        <w:t>.</w:t>
      </w:r>
      <w:r w:rsidRPr="00C718BA">
        <w:t xml:space="preserve"> Darauf aufbauend gab es weitere Studien</w:t>
      </w:r>
      <w:r>
        <w:t>, um</w:t>
      </w:r>
      <w:r w:rsidRPr="00C718BA">
        <w:t xml:space="preserve"> den Einfluss von Mykoplasmen auf eine maligne Transformation von Prostatazellen nachzuweisen</w:t>
      </w:r>
      <w:r>
        <w:t xml:space="preserve"> </w:t>
      </w:r>
      <w:r>
        <w:rPr>
          <w:noProof/>
        </w:rPr>
        <w:t>(Namiki et al., 2009, Ji et al., 2019)</w:t>
      </w:r>
      <w:r w:rsidRPr="004247CA">
        <w:t xml:space="preserve">. </w:t>
      </w:r>
      <w:r w:rsidRPr="00C718BA">
        <w:t>2011 wurde von Barykova et al. ein möglicher Zusammenhang zwischen einer Infektion mit Mykoplasmen und der Entstehung eines Prostatakarzinoms aufgrund einer chronischen Entzündung untersucht. Im Rahmen der Studie wurde</w:t>
      </w:r>
      <w:r>
        <w:t>n</w:t>
      </w:r>
      <w:r w:rsidRPr="00C718BA">
        <w:t xml:space="preserve"> </w:t>
      </w:r>
      <w:r>
        <w:t>Männer mit Prostatakrebs mit Männern mit benigner Prostatahyperplasie verglichen. B</w:t>
      </w:r>
      <w:r w:rsidRPr="00C718BA">
        <w:t>ei Männern mit einem Prostatakarzinom</w:t>
      </w:r>
      <w:r>
        <w:t xml:space="preserve"> wurden</w:t>
      </w:r>
      <w:r w:rsidRPr="00C718BA">
        <w:t xml:space="preserve"> eine dreifach höhere Präsenz von M</w:t>
      </w:r>
      <w:r>
        <w:t>.</w:t>
      </w:r>
      <w:r w:rsidRPr="00C718BA">
        <w:t xml:space="preserve"> hominis und höhere Antikörpertiter </w:t>
      </w:r>
      <w:r>
        <w:t>gegen M. hominis</w:t>
      </w:r>
      <w:r w:rsidRPr="00C718BA">
        <w:t xml:space="preserve"> als bei Männern mit benignen Prostatahyperplasie gefunden </w:t>
      </w:r>
      <w:r>
        <w:rPr>
          <w:noProof/>
        </w:rPr>
        <w:t>(Barykova et al., 2011)</w:t>
      </w:r>
      <w:r w:rsidRPr="00C718BA">
        <w:t xml:space="preserve">. Diese Beobachtung wurde auch von weiteren Forschern gemacht </w:t>
      </w:r>
      <w:r>
        <w:rPr>
          <w:noProof/>
        </w:rPr>
        <w:t>(Erturhan et al., 2013)</w:t>
      </w:r>
      <w:r>
        <w:t xml:space="preserve">. </w:t>
      </w:r>
      <w:r w:rsidRPr="00C718BA">
        <w:t>Zusätzlich wurde bei Nierenkrebs wie auch dem Blasenkarzinom die klinische Signifikanz einer Mykoplasmeninfektion untersucht</w:t>
      </w:r>
      <w:r>
        <w:t xml:space="preserve"> </w:t>
      </w:r>
      <w:r>
        <w:rPr>
          <w:noProof/>
        </w:rPr>
        <w:t>(Pehlivan et al., 2005)</w:t>
      </w:r>
      <w:r>
        <w:t xml:space="preserve">. </w:t>
      </w:r>
      <w:r w:rsidRPr="00C718BA">
        <w:t xml:space="preserve">Das Ergebnis legt nahe, dass Mykoplasmen die Entstehung von Krebs begünstigen können. Es ist jedoch nicht abschließend geklärt, welchen Einfluss Mykoplasmen bei der Entstehung von Blasenkrebs haben und wie sie sich auf die Expression von Tumormarkern und </w:t>
      </w:r>
      <w:r>
        <w:t>t</w:t>
      </w:r>
      <w:r w:rsidRPr="00C718BA">
        <w:t>umorassoziierten Proteinen bei Blasenkrebs auswirken.</w:t>
      </w:r>
      <w:r>
        <w:t xml:space="preserve"> </w:t>
      </w:r>
    </w:p>
    <w:p w14:paraId="31BE0043" w14:textId="77777777" w:rsidR="00C85902" w:rsidRDefault="00C85902" w:rsidP="00AE386B">
      <w:pPr>
        <w:pStyle w:val="berschrift2"/>
      </w:pPr>
      <w:bookmarkStart w:id="25" w:name="_Toc121158649"/>
      <w:r>
        <w:t>Ziel der Arbeit</w:t>
      </w:r>
      <w:bookmarkEnd w:id="25"/>
    </w:p>
    <w:p w14:paraId="611CDFFB" w14:textId="77777777" w:rsidR="00C85902" w:rsidRDefault="00C85902" w:rsidP="00737D2A">
      <w:r>
        <w:t xml:space="preserve">Das Urothelkarzinom der Blase macht bei Männern über 5% der Krebserkrankungen auf und tritt gehäuft in der 7. Lebensdekade auf </w:t>
      </w:r>
      <w:r>
        <w:rPr>
          <w:noProof/>
        </w:rPr>
        <w:t>(Erdmann et al., 2021)</w:t>
      </w:r>
      <w:r>
        <w:t xml:space="preserve">. Aufgrund der demographischen Transition wird diese unzureichend erforschte Krebsform zunehmend relevanter und die Behandlung ist mit hohen Kosten verbunden </w:t>
      </w:r>
      <w:r>
        <w:rPr>
          <w:noProof/>
        </w:rPr>
        <w:t>(Brown et al., 2002, Statistischtes Bundesamt, o.J.)</w:t>
      </w:r>
      <w:r>
        <w:t xml:space="preserve">. Dennoch gibt es unzureichend Grundlagenforschung und noch keinen diagnostisch und prognostisch aussagekräftigen Gewebs- beziehungsweise Tumormarker, sodass sich die Therapiemöglichkeiten in den letzten Jahren nicht deutlich verbessert haben und die Behandlungskosten des Blasenkarzinoms aufgrund der Behandlung, Kontrollen und hohen Rezidivraten hoch sind. </w:t>
      </w:r>
      <w:r>
        <w:rPr>
          <w:noProof/>
        </w:rPr>
        <w:t>(Kunath et al., 2013)</w:t>
      </w:r>
      <w:r w:rsidRPr="006C56D8">
        <w:t xml:space="preserve">. </w:t>
      </w:r>
      <w:r>
        <w:t xml:space="preserve">CD276 gehört zur B7-Familie hat eine vorwiegend negative modulierende Wirkung auf die Immunantwort, indem es die Aktivierung und Proliferation der T-Zellen unterdrückt. Er wird vor allem im Tumorgewebe vermehrt exprimiert und ist Bestandteil in der Immunescape-Strategie von Tumoren. Eine hohe Expression ist meist mit einer schlechteren Prognose und höheren Metastasierung vergesellschaftet da eine hohe Expression von CD276 auch zu einer stärkeren Migration, Invasion und Angiogenese bei Tumoren führt. Da CD276 auch im Blasenkarzinom vermehrt exprimiert wird, ist CD276 sowohl ein vielversprechender Marker für das Screening als auch ein Ansatzpunkt für eine zielgerichtete Therapie. </w:t>
      </w:r>
    </w:p>
    <w:p w14:paraId="2BC991A0" w14:textId="77777777" w:rsidR="00C85902" w:rsidRDefault="00C85902" w:rsidP="00737D2A">
      <w:r>
        <w:t xml:space="preserve">Der Einfluss von Mykoplasmen auf die Proteinexpression und insbesondere die Expression von Tumormarkern wie beispielsweise CD276, einem vielversprechenden Tumormarker und Therapieansatzpunkt bei Blasenkrebs, ist unzureichend erforscht. Falls Mykoplasmen die Expression von CD276 modulieren, kann sich hieraus nicht nur eine falsch-positive bzw. falsch-negative Diagnostik ergeben, sondern unter Umständen auch ein vermindertes Ansprechen auf neue Therapieansätze, was für den weiteren Therapieverlauf und -erfolg für Patienten entscheidend sein kann. </w:t>
      </w:r>
    </w:p>
    <w:p w14:paraId="6EE4811D" w14:textId="77777777" w:rsidR="00C85902" w:rsidRPr="00B22183" w:rsidRDefault="00C85902" w:rsidP="00737D2A">
      <w:r w:rsidRPr="00AB620B">
        <w:t>Ziel der Arbeit</w:t>
      </w:r>
      <w:r>
        <w:t xml:space="preserve"> ist daher die Analyse des Einflusses einer Infektion mit Mykoplasmen auf die Expression von CD276 in verschiedenen Urothelzellen, sowohl mit als auch ohne Tumor. Für die Untersuchung wurde mit unterschiedlichen Zelllinien und mit aus OP-Präparaten isolierten Zellen und verschiedenen Nachweis- und Messmethoden gearbeitet, um die CD276 Expression der mit Mykoplasmen infizierten und der korrespondieren gesunden Zellpopulation zu ermitteln und zu vergleichen. Die Vergleichsaspekte sollen zusätzlich Aufschluss darüber geben, auf welcher Ebene sich die Expression unterscheidet: Transkriptebene (RNA), Proteinebene oder bei den Oberflächenproteinen. Die genutzten Analysemethoden sind RT-PCR, Western Blot und Durchflusszytometrie. Zusätzlich wurde mit einer Bilddokumentation ermittelt, ob die Infektion auch zu Unterschieden in der</w:t>
      </w:r>
      <w:r w:rsidRPr="006E18AB">
        <w:t xml:space="preserve"> </w:t>
      </w:r>
      <w:r>
        <w:t xml:space="preserve">Zellmorphologie oder der Proliferationsrate führt. </w:t>
      </w:r>
    </w:p>
    <w:p w14:paraId="4F3A1525" w14:textId="77777777" w:rsidR="00C85902" w:rsidRDefault="00C85902" w:rsidP="00383E33">
      <w:pPr>
        <w:pStyle w:val="berschrift1"/>
      </w:pPr>
      <w:bookmarkStart w:id="26" w:name="_Toc121158650"/>
      <w:r w:rsidRPr="00383E33">
        <w:t>Material und Methoden</w:t>
      </w:r>
      <w:bookmarkEnd w:id="26"/>
    </w:p>
    <w:p w14:paraId="0249FD98" w14:textId="77777777" w:rsidR="00C85902" w:rsidRPr="00446A7C" w:rsidRDefault="00C85902" w:rsidP="00446A7C">
      <w:r>
        <w:t>Die genutzten Materialien und Methoden werden im Folgenden genannt und erläutert.</w:t>
      </w:r>
    </w:p>
    <w:p w14:paraId="6B9258D4" w14:textId="77777777" w:rsidR="00C85902" w:rsidRDefault="00C85902" w:rsidP="00B76B12">
      <w:pPr>
        <w:pStyle w:val="berschrift2"/>
      </w:pPr>
      <w:bookmarkStart w:id="27" w:name="_Toc121158651"/>
      <w:r>
        <w:t>Geräte und Materialien</w:t>
      </w:r>
      <w:bookmarkEnd w:id="27"/>
    </w:p>
    <w:p w14:paraId="6866A817" w14:textId="06444687" w:rsidR="00C85902" w:rsidRDefault="00C85902">
      <w:r>
        <w:t>Die nachstehende Aufstellung (</w:t>
      </w:r>
      <w:r>
        <w:fldChar w:fldCharType="begin"/>
      </w:r>
      <w:r>
        <w:instrText xml:space="preserve"> REF _Ref120439853 \h </w:instrText>
      </w:r>
      <w:r>
        <w:fldChar w:fldCharType="separate"/>
      </w:r>
      <w:r w:rsidR="00791554">
        <w:t xml:space="preserve">Tabelle </w:t>
      </w:r>
      <w:r w:rsidR="00791554">
        <w:rPr>
          <w:noProof/>
        </w:rPr>
        <w:t>3</w:t>
      </w:r>
      <w:r>
        <w:fldChar w:fldCharType="end"/>
      </w:r>
      <w:r>
        <w:t xml:space="preserve">) enthält alle für die Versuche genutzten Geräte und Materialien. Um einen besseren Überblick zu ermöglichen, sind die genutzten Substanzen und Chemikalien oberhalb des jeweiligen Versuches separat aufgeführt. </w:t>
      </w:r>
    </w:p>
    <w:p w14:paraId="454B5A7D" w14:textId="24961F6E" w:rsidR="00C85902" w:rsidRPr="007F4EE7" w:rsidRDefault="00C85902" w:rsidP="0068628C">
      <w:pPr>
        <w:pStyle w:val="Beschriftung"/>
        <w:keepNext/>
        <w:rPr>
          <w:vanish/>
          <w:specVanish/>
        </w:rPr>
      </w:pPr>
      <w:bookmarkStart w:id="28" w:name="_Ref120439853"/>
      <w:bookmarkStart w:id="29" w:name="_Toc120649845"/>
      <w:r>
        <w:t xml:space="preserve">Tabelle </w:t>
      </w:r>
      <w:r>
        <w:fldChar w:fldCharType="begin"/>
      </w:r>
      <w:r>
        <w:instrText xml:space="preserve"> SEQ Tabelle \* ARABIC </w:instrText>
      </w:r>
      <w:r>
        <w:fldChar w:fldCharType="separate"/>
      </w:r>
      <w:r w:rsidR="00791554">
        <w:rPr>
          <w:noProof/>
        </w:rPr>
        <w:t>3</w:t>
      </w:r>
      <w:r>
        <w:rPr>
          <w:noProof/>
        </w:rPr>
        <w:fldChar w:fldCharType="end"/>
      </w:r>
      <w:bookmarkEnd w:id="28"/>
      <w:r>
        <w:t xml:space="preserve"> Allgemeine Geräte und Materialien</w:t>
      </w:r>
      <w:bookmarkEnd w:id="29"/>
      <w:r>
        <w:t xml:space="preserve"> </w:t>
      </w:r>
    </w:p>
    <w:p w14:paraId="76DB48F8" w14:textId="77777777" w:rsidR="00C85902" w:rsidRDefault="00C85902" w:rsidP="0068628C">
      <w:pPr>
        <w:pStyle w:val="Beschriftung"/>
        <w:keepNext/>
      </w:pPr>
      <w:r>
        <w:t xml:space="preserve"> </w:t>
      </w:r>
      <w:r>
        <w:br/>
        <w:t>In dieser Tabelle werden die für diese Arbeit genutzten Geräte und Hersteller aufgeführt.</w:t>
      </w:r>
    </w:p>
    <w:tbl>
      <w:tblPr>
        <w:tblStyle w:val="EinfacheTabelle1"/>
        <w:tblW w:w="0" w:type="auto"/>
        <w:tblLook w:val="04A0" w:firstRow="1" w:lastRow="0" w:firstColumn="1" w:lastColumn="0" w:noHBand="0" w:noVBand="1"/>
      </w:tblPr>
      <w:tblGrid>
        <w:gridCol w:w="5070"/>
        <w:gridCol w:w="3276"/>
      </w:tblGrid>
      <w:tr w:rsidR="00C85902" w:rsidRPr="00CE4A58" w14:paraId="7DBDB462" w14:textId="77777777" w:rsidTr="00BE5EE0">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558B50F2" w14:textId="77777777" w:rsidR="00C85902" w:rsidRPr="00EF15A2" w:rsidRDefault="00C85902" w:rsidP="002904A8">
            <w:pPr>
              <w:spacing w:line="240" w:lineRule="auto"/>
              <w:jc w:val="center"/>
              <w:rPr>
                <w:sz w:val="20"/>
                <w:szCs w:val="20"/>
              </w:rPr>
            </w:pPr>
            <w:r w:rsidRPr="00EF15A2">
              <w:rPr>
                <w:sz w:val="20"/>
                <w:szCs w:val="20"/>
              </w:rPr>
              <w:t>Gerät/Name</w:t>
            </w:r>
          </w:p>
        </w:tc>
        <w:tc>
          <w:tcPr>
            <w:tcW w:w="3276" w:type="dxa"/>
          </w:tcPr>
          <w:p w14:paraId="5CAD41AF" w14:textId="77777777" w:rsidR="00C85902" w:rsidRPr="00EF15A2" w:rsidRDefault="00C85902" w:rsidP="002904A8">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F15A2">
              <w:rPr>
                <w:sz w:val="20"/>
                <w:szCs w:val="20"/>
              </w:rPr>
              <w:t>Hersteller</w:t>
            </w:r>
          </w:p>
        </w:tc>
      </w:tr>
      <w:tr w:rsidR="00C85902" w:rsidRPr="00CE4A58" w14:paraId="0AE1F85E"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71BDFD53" w14:textId="77777777" w:rsidR="00C85902" w:rsidRPr="00EF15A2" w:rsidRDefault="00C85902" w:rsidP="002904A8">
            <w:pPr>
              <w:spacing w:line="240" w:lineRule="auto"/>
              <w:rPr>
                <w:b w:val="0"/>
                <w:bCs w:val="0"/>
                <w:sz w:val="20"/>
                <w:szCs w:val="20"/>
              </w:rPr>
            </w:pPr>
            <w:r w:rsidRPr="00EF15A2">
              <w:rPr>
                <w:b w:val="0"/>
                <w:bCs w:val="0"/>
                <w:sz w:val="20"/>
                <w:szCs w:val="20"/>
              </w:rPr>
              <w:t>CO</w:t>
            </w:r>
            <w:r w:rsidRPr="00EF15A2">
              <w:rPr>
                <w:b w:val="0"/>
                <w:bCs w:val="0"/>
                <w:sz w:val="20"/>
                <w:szCs w:val="20"/>
                <w:vertAlign w:val="subscript"/>
              </w:rPr>
              <w:t>2</w:t>
            </w:r>
            <w:r w:rsidRPr="00EF15A2">
              <w:rPr>
                <w:b w:val="0"/>
                <w:bCs w:val="0"/>
                <w:sz w:val="20"/>
                <w:szCs w:val="20"/>
              </w:rPr>
              <w:t xml:space="preserve"> Inkubator </w:t>
            </w:r>
            <w:r w:rsidRPr="00EF15A2">
              <w:rPr>
                <w:b w:val="0"/>
                <w:bCs w:val="0"/>
                <w:color w:val="000000" w:themeColor="text1"/>
                <w:sz w:val="20"/>
                <w:szCs w:val="20"/>
              </w:rPr>
              <w:t>Heracell 240i</w:t>
            </w:r>
          </w:p>
        </w:tc>
        <w:tc>
          <w:tcPr>
            <w:tcW w:w="3276" w:type="dxa"/>
          </w:tcPr>
          <w:p w14:paraId="20AC3E62"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ThermoFisher Scientific</w:t>
            </w:r>
          </w:p>
        </w:tc>
      </w:tr>
      <w:tr w:rsidR="00C85902" w:rsidRPr="00CE4A58" w14:paraId="36FA525B"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1A01DB8F" w14:textId="77777777" w:rsidR="00C85902" w:rsidRPr="00EF15A2" w:rsidRDefault="00C85902" w:rsidP="002904A8">
            <w:pPr>
              <w:spacing w:line="240" w:lineRule="auto"/>
              <w:rPr>
                <w:b w:val="0"/>
                <w:bCs w:val="0"/>
                <w:sz w:val="20"/>
                <w:szCs w:val="20"/>
              </w:rPr>
            </w:pPr>
            <w:r w:rsidRPr="00EF15A2">
              <w:rPr>
                <w:b w:val="0"/>
                <w:bCs w:val="0"/>
                <w:sz w:val="20"/>
                <w:szCs w:val="20"/>
              </w:rPr>
              <w:t>Sterilbank SL-1200</w:t>
            </w:r>
          </w:p>
        </w:tc>
        <w:tc>
          <w:tcPr>
            <w:tcW w:w="3276" w:type="dxa"/>
          </w:tcPr>
          <w:p w14:paraId="5450B345"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BDK</w:t>
            </w:r>
          </w:p>
        </w:tc>
      </w:tr>
      <w:tr w:rsidR="00C85902" w:rsidRPr="00CE4A58" w14:paraId="65302AB5"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3C36434D" w14:textId="77777777" w:rsidR="00C85902" w:rsidRPr="00EF15A2" w:rsidRDefault="00C85902" w:rsidP="002904A8">
            <w:pPr>
              <w:spacing w:line="240" w:lineRule="auto"/>
              <w:rPr>
                <w:b w:val="0"/>
                <w:bCs w:val="0"/>
                <w:sz w:val="20"/>
                <w:szCs w:val="20"/>
              </w:rPr>
            </w:pPr>
            <w:r w:rsidRPr="00EF15A2">
              <w:rPr>
                <w:b w:val="0"/>
                <w:bCs w:val="0"/>
                <w:sz w:val="20"/>
                <w:szCs w:val="20"/>
              </w:rPr>
              <w:t>Zentrifuge Rotina 420R</w:t>
            </w:r>
          </w:p>
        </w:tc>
        <w:tc>
          <w:tcPr>
            <w:tcW w:w="3276" w:type="dxa"/>
          </w:tcPr>
          <w:p w14:paraId="08C0BD70"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 xml:space="preserve">Hettich </w:t>
            </w:r>
          </w:p>
        </w:tc>
      </w:tr>
      <w:tr w:rsidR="00C85902" w:rsidRPr="00CE4A58" w14:paraId="7AD3F46C"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03E3445D" w14:textId="77777777" w:rsidR="00C85902" w:rsidRPr="00EF15A2" w:rsidRDefault="00C85902" w:rsidP="002904A8">
            <w:pPr>
              <w:spacing w:line="240" w:lineRule="auto"/>
              <w:rPr>
                <w:b w:val="0"/>
                <w:bCs w:val="0"/>
                <w:sz w:val="20"/>
                <w:szCs w:val="20"/>
              </w:rPr>
            </w:pPr>
            <w:r w:rsidRPr="00EF15A2">
              <w:rPr>
                <w:b w:val="0"/>
                <w:bCs w:val="0"/>
                <w:sz w:val="20"/>
                <w:szCs w:val="20"/>
              </w:rPr>
              <w:t>Zentrifuge CombiSpin FVL-2400N</w:t>
            </w:r>
          </w:p>
        </w:tc>
        <w:tc>
          <w:tcPr>
            <w:tcW w:w="3276" w:type="dxa"/>
          </w:tcPr>
          <w:p w14:paraId="40C258C2"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BioSan</w:t>
            </w:r>
          </w:p>
        </w:tc>
      </w:tr>
      <w:tr w:rsidR="00C85902" w:rsidRPr="00CE4A58" w14:paraId="068D34A7"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3054CD4B" w14:textId="77777777" w:rsidR="00C85902" w:rsidRPr="00EF15A2" w:rsidRDefault="00C85902" w:rsidP="002904A8">
            <w:pPr>
              <w:spacing w:line="240" w:lineRule="auto"/>
              <w:rPr>
                <w:b w:val="0"/>
                <w:bCs w:val="0"/>
                <w:sz w:val="20"/>
                <w:szCs w:val="20"/>
              </w:rPr>
            </w:pPr>
            <w:r w:rsidRPr="00EF15A2">
              <w:rPr>
                <w:b w:val="0"/>
                <w:bCs w:val="0"/>
                <w:sz w:val="20"/>
                <w:szCs w:val="20"/>
              </w:rPr>
              <w:t>Zentrifuge Heraeus Multifuge 3SR+</w:t>
            </w:r>
          </w:p>
        </w:tc>
        <w:tc>
          <w:tcPr>
            <w:tcW w:w="3276" w:type="dxa"/>
          </w:tcPr>
          <w:p w14:paraId="40548C0A"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Thermo-Fisher Scientific</w:t>
            </w:r>
          </w:p>
        </w:tc>
      </w:tr>
      <w:tr w:rsidR="00C85902" w:rsidRPr="00CE4A58" w14:paraId="63295CE2"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7229960C" w14:textId="77777777" w:rsidR="00C85902" w:rsidRPr="00EF15A2" w:rsidRDefault="00C85902" w:rsidP="002904A8">
            <w:pPr>
              <w:spacing w:line="240" w:lineRule="auto"/>
              <w:rPr>
                <w:b w:val="0"/>
                <w:bCs w:val="0"/>
                <w:sz w:val="20"/>
                <w:szCs w:val="20"/>
              </w:rPr>
            </w:pPr>
            <w:r w:rsidRPr="00EF15A2">
              <w:rPr>
                <w:b w:val="0"/>
                <w:bCs w:val="0"/>
                <w:sz w:val="20"/>
                <w:szCs w:val="20"/>
              </w:rPr>
              <w:t>Zentrifuge 5424</w:t>
            </w:r>
          </w:p>
        </w:tc>
        <w:tc>
          <w:tcPr>
            <w:tcW w:w="3276" w:type="dxa"/>
          </w:tcPr>
          <w:p w14:paraId="406E5115"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Eppendorf</w:t>
            </w:r>
          </w:p>
        </w:tc>
      </w:tr>
      <w:tr w:rsidR="00C85902" w:rsidRPr="00CE4A58" w14:paraId="7BA0EFC4"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44DD242A" w14:textId="77777777" w:rsidR="00C85902" w:rsidRPr="00EF15A2" w:rsidRDefault="00C85902" w:rsidP="002904A8">
            <w:pPr>
              <w:spacing w:line="240" w:lineRule="auto"/>
              <w:rPr>
                <w:b w:val="0"/>
                <w:bCs w:val="0"/>
                <w:sz w:val="20"/>
                <w:szCs w:val="20"/>
              </w:rPr>
            </w:pPr>
            <w:r w:rsidRPr="00EF15A2">
              <w:rPr>
                <w:b w:val="0"/>
                <w:bCs w:val="0"/>
                <w:sz w:val="20"/>
                <w:szCs w:val="20"/>
              </w:rPr>
              <w:t>Zentrifuge 3-30KS</w:t>
            </w:r>
          </w:p>
        </w:tc>
        <w:tc>
          <w:tcPr>
            <w:tcW w:w="3276" w:type="dxa"/>
          </w:tcPr>
          <w:p w14:paraId="72C145D5"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Sigma</w:t>
            </w:r>
          </w:p>
        </w:tc>
      </w:tr>
      <w:tr w:rsidR="00C85902" w:rsidRPr="00CE4A58" w14:paraId="7C7EDFB4"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681B27EA" w14:textId="77777777" w:rsidR="00C85902" w:rsidRPr="00EF15A2" w:rsidRDefault="00C85902" w:rsidP="002904A8">
            <w:pPr>
              <w:spacing w:line="240" w:lineRule="auto"/>
              <w:rPr>
                <w:b w:val="0"/>
                <w:bCs w:val="0"/>
                <w:sz w:val="20"/>
                <w:szCs w:val="20"/>
              </w:rPr>
            </w:pPr>
            <w:r w:rsidRPr="00EF15A2">
              <w:rPr>
                <w:b w:val="0"/>
                <w:bCs w:val="0"/>
                <w:sz w:val="20"/>
                <w:szCs w:val="20"/>
              </w:rPr>
              <w:t>Thermoblock LightCycler 480 II</w:t>
            </w:r>
          </w:p>
        </w:tc>
        <w:tc>
          <w:tcPr>
            <w:tcW w:w="3276" w:type="dxa"/>
          </w:tcPr>
          <w:p w14:paraId="74D723A1"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Roche</w:t>
            </w:r>
          </w:p>
        </w:tc>
      </w:tr>
      <w:tr w:rsidR="00C85902" w:rsidRPr="00CE4A58" w14:paraId="2D81F368"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2A590549" w14:textId="77777777" w:rsidR="00C85902" w:rsidRPr="00EF15A2" w:rsidRDefault="00C85902" w:rsidP="002904A8">
            <w:pPr>
              <w:spacing w:line="240" w:lineRule="auto"/>
              <w:rPr>
                <w:b w:val="0"/>
                <w:bCs w:val="0"/>
                <w:sz w:val="20"/>
                <w:szCs w:val="20"/>
              </w:rPr>
            </w:pPr>
            <w:r w:rsidRPr="00EF15A2">
              <w:rPr>
                <w:b w:val="0"/>
                <w:bCs w:val="0"/>
                <w:sz w:val="20"/>
                <w:szCs w:val="20"/>
              </w:rPr>
              <w:t>Nanophotometer</w:t>
            </w:r>
          </w:p>
        </w:tc>
        <w:tc>
          <w:tcPr>
            <w:tcW w:w="3276" w:type="dxa"/>
          </w:tcPr>
          <w:p w14:paraId="342C95F7"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IMPLEN</w:t>
            </w:r>
          </w:p>
        </w:tc>
      </w:tr>
      <w:tr w:rsidR="00C85902" w:rsidRPr="00CE4A58" w14:paraId="0784963E"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6D63ABFA" w14:textId="77777777" w:rsidR="00C85902" w:rsidRPr="00EF15A2" w:rsidRDefault="00C85902" w:rsidP="002904A8">
            <w:pPr>
              <w:spacing w:line="240" w:lineRule="auto"/>
              <w:rPr>
                <w:b w:val="0"/>
                <w:bCs w:val="0"/>
                <w:sz w:val="20"/>
                <w:szCs w:val="20"/>
              </w:rPr>
            </w:pPr>
            <w:r w:rsidRPr="00EF15A2">
              <w:rPr>
                <w:b w:val="0"/>
                <w:bCs w:val="0"/>
                <w:sz w:val="20"/>
                <w:szCs w:val="20"/>
              </w:rPr>
              <w:t>Mikroskop Primovert</w:t>
            </w:r>
          </w:p>
        </w:tc>
        <w:tc>
          <w:tcPr>
            <w:tcW w:w="3276" w:type="dxa"/>
          </w:tcPr>
          <w:p w14:paraId="23C995CD"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Zeiss</w:t>
            </w:r>
          </w:p>
        </w:tc>
      </w:tr>
      <w:tr w:rsidR="00C85902" w:rsidRPr="00CE4A58" w14:paraId="3321AD7E"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048487EB" w14:textId="77777777" w:rsidR="00C85902" w:rsidRPr="00EF15A2" w:rsidRDefault="00C85902" w:rsidP="002904A8">
            <w:pPr>
              <w:spacing w:line="240" w:lineRule="auto"/>
              <w:rPr>
                <w:b w:val="0"/>
                <w:bCs w:val="0"/>
                <w:sz w:val="20"/>
                <w:szCs w:val="20"/>
              </w:rPr>
            </w:pPr>
            <w:r w:rsidRPr="00EF15A2">
              <w:rPr>
                <w:b w:val="0"/>
                <w:bCs w:val="0"/>
                <w:sz w:val="20"/>
                <w:szCs w:val="20"/>
              </w:rPr>
              <w:t>Linse für 10x Vergrößerung</w:t>
            </w:r>
            <w:r w:rsidRPr="00EF15A2">
              <w:rPr>
                <w:b w:val="0"/>
                <w:bCs w:val="0"/>
                <w:sz w:val="20"/>
                <w:szCs w:val="20"/>
              </w:rPr>
              <w:br/>
              <w:t>Primo-Plan-ACHROMAT</w:t>
            </w:r>
            <w:r>
              <w:rPr>
                <w:b w:val="0"/>
                <w:bCs w:val="0"/>
                <w:sz w:val="20"/>
                <w:szCs w:val="20"/>
              </w:rPr>
              <w:t xml:space="preserve"> </w:t>
            </w:r>
            <w:r w:rsidRPr="00EF15A2">
              <w:rPr>
                <w:b w:val="0"/>
                <w:bCs w:val="0"/>
                <w:sz w:val="20"/>
                <w:szCs w:val="20"/>
              </w:rPr>
              <w:t>10x/0,25 Ph1 415500-1605-001</w:t>
            </w:r>
          </w:p>
        </w:tc>
        <w:tc>
          <w:tcPr>
            <w:tcW w:w="3276" w:type="dxa"/>
          </w:tcPr>
          <w:p w14:paraId="6B5EE91B"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Zeiss</w:t>
            </w:r>
          </w:p>
        </w:tc>
      </w:tr>
      <w:tr w:rsidR="00C85902" w:rsidRPr="00CE4A58" w14:paraId="16964F22"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2E0977D7" w14:textId="77777777" w:rsidR="00C85902" w:rsidRPr="00EF15A2" w:rsidRDefault="00C85902" w:rsidP="002904A8">
            <w:pPr>
              <w:spacing w:line="240" w:lineRule="auto"/>
              <w:rPr>
                <w:b w:val="0"/>
                <w:bCs w:val="0"/>
                <w:sz w:val="20"/>
                <w:szCs w:val="20"/>
              </w:rPr>
            </w:pPr>
            <w:r w:rsidRPr="00EF15A2">
              <w:rPr>
                <w:b w:val="0"/>
                <w:bCs w:val="0"/>
                <w:sz w:val="20"/>
                <w:szCs w:val="20"/>
              </w:rPr>
              <w:t>Linse für 20x Vergrößerung</w:t>
            </w:r>
            <w:r w:rsidRPr="00EF15A2">
              <w:rPr>
                <w:b w:val="0"/>
                <w:bCs w:val="0"/>
                <w:sz w:val="20"/>
                <w:szCs w:val="20"/>
              </w:rPr>
              <w:br/>
              <w:t>Primo-Plan-ACHROMAT</w:t>
            </w:r>
            <w:r>
              <w:rPr>
                <w:b w:val="0"/>
                <w:bCs w:val="0"/>
                <w:sz w:val="20"/>
                <w:szCs w:val="20"/>
              </w:rPr>
              <w:t xml:space="preserve"> </w:t>
            </w:r>
            <w:r w:rsidRPr="00EF15A2">
              <w:rPr>
                <w:b w:val="0"/>
                <w:bCs w:val="0"/>
                <w:sz w:val="20"/>
                <w:szCs w:val="20"/>
              </w:rPr>
              <w:t>20x/0,30 Ph1 415500-1614</w:t>
            </w:r>
          </w:p>
        </w:tc>
        <w:tc>
          <w:tcPr>
            <w:tcW w:w="3276" w:type="dxa"/>
          </w:tcPr>
          <w:p w14:paraId="3C474E5E"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Zeiss</w:t>
            </w:r>
          </w:p>
        </w:tc>
      </w:tr>
      <w:tr w:rsidR="00C85902" w:rsidRPr="00CE4A58" w14:paraId="4BAF7A47"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1F667CCE" w14:textId="77777777" w:rsidR="00C85902" w:rsidRPr="00EF15A2" w:rsidRDefault="00C85902" w:rsidP="002904A8">
            <w:pPr>
              <w:spacing w:line="240" w:lineRule="auto"/>
              <w:rPr>
                <w:b w:val="0"/>
                <w:bCs w:val="0"/>
                <w:sz w:val="20"/>
                <w:szCs w:val="20"/>
              </w:rPr>
            </w:pPr>
            <w:r w:rsidRPr="00EF15A2">
              <w:rPr>
                <w:b w:val="0"/>
                <w:bCs w:val="0"/>
                <w:sz w:val="20"/>
                <w:szCs w:val="20"/>
              </w:rPr>
              <w:t>Wasserbad 1083</w:t>
            </w:r>
          </w:p>
        </w:tc>
        <w:tc>
          <w:tcPr>
            <w:tcW w:w="3276" w:type="dxa"/>
          </w:tcPr>
          <w:p w14:paraId="39CEC02E"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IKA</w:t>
            </w:r>
          </w:p>
        </w:tc>
      </w:tr>
      <w:tr w:rsidR="00C85902" w:rsidRPr="00CE4A58" w14:paraId="19B200CD"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25F2E045" w14:textId="77777777" w:rsidR="00C85902" w:rsidRPr="00EF15A2" w:rsidRDefault="00C85902" w:rsidP="002904A8">
            <w:pPr>
              <w:spacing w:line="240" w:lineRule="auto"/>
              <w:rPr>
                <w:b w:val="0"/>
                <w:bCs w:val="0"/>
                <w:sz w:val="20"/>
                <w:szCs w:val="20"/>
              </w:rPr>
            </w:pPr>
            <w:r w:rsidRPr="00EF15A2">
              <w:rPr>
                <w:b w:val="0"/>
                <w:bCs w:val="0"/>
                <w:sz w:val="20"/>
                <w:szCs w:val="20"/>
              </w:rPr>
              <w:t>GlowMax Explorer NanoLuc Technology</w:t>
            </w:r>
          </w:p>
        </w:tc>
        <w:tc>
          <w:tcPr>
            <w:tcW w:w="3276" w:type="dxa"/>
          </w:tcPr>
          <w:p w14:paraId="71926ECF"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Promega</w:t>
            </w:r>
          </w:p>
        </w:tc>
      </w:tr>
      <w:tr w:rsidR="00C85902" w:rsidRPr="00CE4A58" w14:paraId="48B1951A"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5CD566DA" w14:textId="77777777" w:rsidR="00C85902" w:rsidRPr="00EF15A2" w:rsidRDefault="00C85902" w:rsidP="002904A8">
            <w:pPr>
              <w:spacing w:line="240" w:lineRule="auto"/>
              <w:rPr>
                <w:b w:val="0"/>
                <w:bCs w:val="0"/>
                <w:sz w:val="20"/>
                <w:szCs w:val="20"/>
              </w:rPr>
            </w:pPr>
            <w:r w:rsidRPr="00EF15A2">
              <w:rPr>
                <w:b w:val="0"/>
                <w:bCs w:val="0"/>
                <w:sz w:val="20"/>
                <w:szCs w:val="20"/>
              </w:rPr>
              <w:t>Thermomixer comfort</w:t>
            </w:r>
          </w:p>
        </w:tc>
        <w:tc>
          <w:tcPr>
            <w:tcW w:w="3276" w:type="dxa"/>
          </w:tcPr>
          <w:p w14:paraId="01D7A3BF"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Eppendorf</w:t>
            </w:r>
          </w:p>
        </w:tc>
      </w:tr>
      <w:tr w:rsidR="00C85902" w:rsidRPr="00CE4A58" w14:paraId="64AA0BA0"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5FB1E18F" w14:textId="77777777" w:rsidR="00C85902" w:rsidRPr="00EF15A2" w:rsidRDefault="00C85902" w:rsidP="002904A8">
            <w:pPr>
              <w:spacing w:line="240" w:lineRule="auto"/>
              <w:rPr>
                <w:b w:val="0"/>
                <w:bCs w:val="0"/>
                <w:sz w:val="20"/>
                <w:szCs w:val="20"/>
              </w:rPr>
            </w:pPr>
            <w:r w:rsidRPr="00EF15A2">
              <w:rPr>
                <w:b w:val="0"/>
                <w:bCs w:val="0"/>
                <w:sz w:val="20"/>
                <w:szCs w:val="20"/>
              </w:rPr>
              <w:t xml:space="preserve">Thermocycler </w:t>
            </w:r>
          </w:p>
        </w:tc>
        <w:tc>
          <w:tcPr>
            <w:tcW w:w="3276" w:type="dxa"/>
          </w:tcPr>
          <w:p w14:paraId="462716FF"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Biometra Uno II</w:t>
            </w:r>
          </w:p>
        </w:tc>
      </w:tr>
      <w:tr w:rsidR="00C85902" w:rsidRPr="00117557" w14:paraId="5208EC47"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6A8CF4E7"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Blot Scanner C-DiGit ® Blot Scanner</w:t>
            </w:r>
          </w:p>
        </w:tc>
        <w:tc>
          <w:tcPr>
            <w:tcW w:w="3276" w:type="dxa"/>
          </w:tcPr>
          <w:p w14:paraId="3C9C44D1"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LI-COR</w:t>
            </w:r>
          </w:p>
        </w:tc>
      </w:tr>
      <w:tr w:rsidR="00C85902" w:rsidRPr="00117557" w14:paraId="247F0C4B"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3B5D3E47"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pH Meter pH Level1</w:t>
            </w:r>
          </w:p>
        </w:tc>
        <w:tc>
          <w:tcPr>
            <w:tcW w:w="3276" w:type="dxa"/>
          </w:tcPr>
          <w:p w14:paraId="032B0582"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EF15A2">
              <w:rPr>
                <w:sz w:val="20"/>
                <w:szCs w:val="20"/>
                <w:lang w:val="en-GB"/>
              </w:rPr>
              <w:t>inoLab</w:t>
            </w:r>
          </w:p>
        </w:tc>
      </w:tr>
      <w:tr w:rsidR="00C85902" w:rsidRPr="00117557" w14:paraId="234FF47B"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39075857"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FACS BD LSR II</w:t>
            </w:r>
          </w:p>
        </w:tc>
        <w:tc>
          <w:tcPr>
            <w:tcW w:w="3276" w:type="dxa"/>
          </w:tcPr>
          <w:p w14:paraId="69D4C9D6"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BD Bioscience</w:t>
            </w:r>
          </w:p>
        </w:tc>
      </w:tr>
      <w:tr w:rsidR="00C85902" w:rsidRPr="00117557" w14:paraId="6D00A10D"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4D62CF13"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Pipettboy</w:t>
            </w:r>
          </w:p>
        </w:tc>
        <w:tc>
          <w:tcPr>
            <w:tcW w:w="3276" w:type="dxa"/>
          </w:tcPr>
          <w:p w14:paraId="62AEF52D"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EF15A2">
              <w:rPr>
                <w:sz w:val="20"/>
                <w:szCs w:val="20"/>
                <w:lang w:val="en-GB"/>
              </w:rPr>
              <w:t>Hirschmann REF 820122218</w:t>
            </w:r>
          </w:p>
        </w:tc>
      </w:tr>
      <w:tr w:rsidR="00C85902" w:rsidRPr="00CE4A58" w14:paraId="6BA42BF4"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4C2F6A88" w14:textId="77777777" w:rsidR="00C85902" w:rsidRPr="00EF15A2" w:rsidRDefault="00C85902" w:rsidP="002904A8">
            <w:pPr>
              <w:spacing w:line="240" w:lineRule="auto"/>
              <w:rPr>
                <w:b w:val="0"/>
                <w:bCs w:val="0"/>
                <w:sz w:val="20"/>
                <w:szCs w:val="20"/>
              </w:rPr>
            </w:pPr>
            <w:r w:rsidRPr="00EF15A2">
              <w:rPr>
                <w:b w:val="0"/>
                <w:bCs w:val="0"/>
                <w:sz w:val="20"/>
                <w:szCs w:val="20"/>
              </w:rPr>
              <w:t>Eppendorf research Pipetten</w:t>
            </w:r>
          </w:p>
          <w:p w14:paraId="5216B228" w14:textId="77777777" w:rsidR="00C85902" w:rsidRPr="00EF15A2" w:rsidRDefault="00C85902" w:rsidP="002904A8">
            <w:pPr>
              <w:pStyle w:val="Listenabsatz"/>
              <w:numPr>
                <w:ilvl w:val="0"/>
                <w:numId w:val="6"/>
              </w:numPr>
              <w:spacing w:line="240" w:lineRule="auto"/>
              <w:rPr>
                <w:b w:val="0"/>
                <w:bCs w:val="0"/>
                <w:sz w:val="20"/>
                <w:szCs w:val="20"/>
              </w:rPr>
            </w:pPr>
            <w:r w:rsidRPr="00EF15A2">
              <w:rPr>
                <w:b w:val="0"/>
                <w:bCs w:val="0"/>
                <w:sz w:val="20"/>
                <w:szCs w:val="20"/>
              </w:rPr>
              <w:t>0,5-10</w:t>
            </w:r>
            <w:r w:rsidRPr="00EF15A2">
              <w:rPr>
                <w:b w:val="0"/>
                <w:bCs w:val="0"/>
                <w:w w:val="50"/>
                <w:sz w:val="20"/>
                <w:szCs w:val="20"/>
              </w:rPr>
              <w:t> </w:t>
            </w:r>
            <w:r w:rsidRPr="00EF15A2">
              <w:rPr>
                <w:rFonts w:cs="Arial"/>
                <w:b w:val="0"/>
                <w:bCs w:val="0"/>
                <w:sz w:val="20"/>
                <w:szCs w:val="20"/>
              </w:rPr>
              <w:t>µl</w:t>
            </w:r>
          </w:p>
          <w:p w14:paraId="4BBD7EB3" w14:textId="77777777" w:rsidR="00C85902" w:rsidRPr="00EF15A2" w:rsidRDefault="00C85902" w:rsidP="002904A8">
            <w:pPr>
              <w:pStyle w:val="Listenabsatz"/>
              <w:numPr>
                <w:ilvl w:val="0"/>
                <w:numId w:val="6"/>
              </w:numPr>
              <w:spacing w:line="240" w:lineRule="auto"/>
              <w:rPr>
                <w:b w:val="0"/>
                <w:bCs w:val="0"/>
                <w:sz w:val="20"/>
                <w:szCs w:val="20"/>
              </w:rPr>
            </w:pPr>
            <w:r w:rsidRPr="00EF15A2">
              <w:rPr>
                <w:b w:val="0"/>
                <w:bCs w:val="0"/>
                <w:sz w:val="20"/>
                <w:szCs w:val="20"/>
              </w:rPr>
              <w:t>10-100</w:t>
            </w:r>
            <w:r w:rsidRPr="00EF15A2">
              <w:rPr>
                <w:b w:val="0"/>
                <w:bCs w:val="0"/>
                <w:w w:val="50"/>
                <w:sz w:val="20"/>
                <w:szCs w:val="20"/>
              </w:rPr>
              <w:t xml:space="preserve"> </w:t>
            </w:r>
            <w:r w:rsidRPr="00EF15A2">
              <w:rPr>
                <w:rFonts w:cs="Arial"/>
                <w:b w:val="0"/>
                <w:bCs w:val="0"/>
                <w:sz w:val="20"/>
                <w:szCs w:val="20"/>
              </w:rPr>
              <w:t>µl</w:t>
            </w:r>
          </w:p>
          <w:p w14:paraId="3FB26E85" w14:textId="77777777" w:rsidR="00C85902" w:rsidRPr="00EF15A2" w:rsidRDefault="00C85902" w:rsidP="002904A8">
            <w:pPr>
              <w:pStyle w:val="Listenabsatz"/>
              <w:numPr>
                <w:ilvl w:val="0"/>
                <w:numId w:val="6"/>
              </w:numPr>
              <w:spacing w:line="240" w:lineRule="auto"/>
              <w:rPr>
                <w:sz w:val="20"/>
                <w:szCs w:val="20"/>
              </w:rPr>
            </w:pPr>
            <w:r w:rsidRPr="00EF15A2">
              <w:rPr>
                <w:b w:val="0"/>
                <w:bCs w:val="0"/>
                <w:sz w:val="20"/>
                <w:szCs w:val="20"/>
              </w:rPr>
              <w:t>20-200</w:t>
            </w:r>
            <w:r w:rsidRPr="00EF15A2">
              <w:rPr>
                <w:b w:val="0"/>
                <w:bCs w:val="0"/>
                <w:w w:val="50"/>
                <w:sz w:val="20"/>
                <w:szCs w:val="20"/>
              </w:rPr>
              <w:t> </w:t>
            </w:r>
            <w:r w:rsidRPr="00EF15A2">
              <w:rPr>
                <w:rFonts w:cs="Arial"/>
                <w:b w:val="0"/>
                <w:bCs w:val="0"/>
                <w:sz w:val="20"/>
                <w:szCs w:val="20"/>
              </w:rPr>
              <w:t>µl</w:t>
            </w:r>
          </w:p>
          <w:p w14:paraId="3B46C7D2" w14:textId="77777777" w:rsidR="00C85902" w:rsidRPr="00EF15A2" w:rsidRDefault="00C85902" w:rsidP="002904A8">
            <w:pPr>
              <w:pStyle w:val="Listenabsatz"/>
              <w:numPr>
                <w:ilvl w:val="0"/>
                <w:numId w:val="6"/>
              </w:numPr>
              <w:spacing w:line="240" w:lineRule="auto"/>
              <w:rPr>
                <w:b w:val="0"/>
                <w:bCs w:val="0"/>
                <w:sz w:val="20"/>
                <w:szCs w:val="20"/>
              </w:rPr>
            </w:pPr>
            <w:r w:rsidRPr="00EF15A2">
              <w:rPr>
                <w:b w:val="0"/>
                <w:bCs w:val="0"/>
                <w:sz w:val="20"/>
                <w:szCs w:val="20"/>
              </w:rPr>
              <w:t>100-1000</w:t>
            </w:r>
            <w:r w:rsidRPr="00EF15A2">
              <w:rPr>
                <w:b w:val="0"/>
                <w:bCs w:val="0"/>
                <w:w w:val="50"/>
                <w:sz w:val="20"/>
                <w:szCs w:val="20"/>
              </w:rPr>
              <w:t> </w:t>
            </w:r>
            <w:r w:rsidRPr="00EF15A2">
              <w:rPr>
                <w:rFonts w:cs="Arial"/>
                <w:b w:val="0"/>
                <w:bCs w:val="0"/>
                <w:sz w:val="20"/>
                <w:szCs w:val="20"/>
              </w:rPr>
              <w:t>µl</w:t>
            </w:r>
          </w:p>
        </w:tc>
        <w:tc>
          <w:tcPr>
            <w:tcW w:w="3276" w:type="dxa"/>
          </w:tcPr>
          <w:p w14:paraId="256CA586"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5416BE2D"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078A9C8B"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Eppendorf</w:t>
            </w:r>
            <w:r w:rsidRPr="00EF15A2">
              <w:rPr>
                <w:sz w:val="20"/>
                <w:szCs w:val="20"/>
              </w:rPr>
              <w:br/>
            </w:r>
          </w:p>
        </w:tc>
      </w:tr>
      <w:tr w:rsidR="00C85902" w:rsidRPr="00CE4A58" w14:paraId="5A5521A3"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143716F8" w14:textId="77777777" w:rsidR="00C85902" w:rsidRPr="00EF15A2" w:rsidRDefault="00C85902" w:rsidP="002904A8">
            <w:pPr>
              <w:spacing w:line="240" w:lineRule="auto"/>
              <w:rPr>
                <w:b w:val="0"/>
                <w:bCs w:val="0"/>
                <w:sz w:val="20"/>
                <w:szCs w:val="20"/>
              </w:rPr>
            </w:pPr>
            <w:r w:rsidRPr="00EF15A2">
              <w:rPr>
                <w:b w:val="0"/>
                <w:bCs w:val="0"/>
                <w:sz w:val="20"/>
                <w:szCs w:val="20"/>
              </w:rPr>
              <w:t xml:space="preserve"> Voltage Generator PowerPack 25</w:t>
            </w:r>
          </w:p>
        </w:tc>
        <w:tc>
          <w:tcPr>
            <w:tcW w:w="3276" w:type="dxa"/>
          </w:tcPr>
          <w:p w14:paraId="2078EE27"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Heidolph</w:t>
            </w:r>
          </w:p>
        </w:tc>
      </w:tr>
      <w:tr w:rsidR="00C85902" w:rsidRPr="00CE4A58" w14:paraId="1A67F268" w14:textId="77777777" w:rsidTr="00BE5EE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70" w:type="dxa"/>
          </w:tcPr>
          <w:p w14:paraId="0EF85165" w14:textId="77777777" w:rsidR="00C85902" w:rsidRPr="00EF15A2" w:rsidRDefault="00C85902" w:rsidP="002904A8">
            <w:pPr>
              <w:spacing w:line="240" w:lineRule="auto"/>
              <w:rPr>
                <w:b w:val="0"/>
                <w:bCs w:val="0"/>
                <w:sz w:val="20"/>
                <w:szCs w:val="20"/>
              </w:rPr>
            </w:pPr>
            <w:r w:rsidRPr="00EF15A2">
              <w:rPr>
                <w:b w:val="0"/>
                <w:bCs w:val="0"/>
                <w:sz w:val="20"/>
                <w:szCs w:val="20"/>
              </w:rPr>
              <w:t>Waage 440-47N</w:t>
            </w:r>
          </w:p>
        </w:tc>
        <w:tc>
          <w:tcPr>
            <w:tcW w:w="3276" w:type="dxa"/>
          </w:tcPr>
          <w:p w14:paraId="675747BC"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Kern</w:t>
            </w:r>
          </w:p>
        </w:tc>
      </w:tr>
      <w:tr w:rsidR="00C85902" w:rsidRPr="00CE4A58" w14:paraId="31CBC350" w14:textId="77777777" w:rsidTr="00BE5EE0">
        <w:trPr>
          <w:trHeight w:val="136"/>
        </w:trPr>
        <w:tc>
          <w:tcPr>
            <w:cnfStyle w:val="001000000000" w:firstRow="0" w:lastRow="0" w:firstColumn="1" w:lastColumn="0" w:oddVBand="0" w:evenVBand="0" w:oddHBand="0" w:evenHBand="0" w:firstRowFirstColumn="0" w:firstRowLastColumn="0" w:lastRowFirstColumn="0" w:lastRowLastColumn="0"/>
            <w:tcW w:w="5070" w:type="dxa"/>
          </w:tcPr>
          <w:p w14:paraId="20CB43F8" w14:textId="77777777" w:rsidR="00C85902" w:rsidRPr="00EF15A2" w:rsidRDefault="00C85902" w:rsidP="002904A8">
            <w:pPr>
              <w:spacing w:line="240" w:lineRule="auto"/>
              <w:rPr>
                <w:b w:val="0"/>
                <w:bCs w:val="0"/>
                <w:sz w:val="20"/>
                <w:szCs w:val="20"/>
              </w:rPr>
            </w:pPr>
            <w:r w:rsidRPr="00EF15A2">
              <w:rPr>
                <w:b w:val="0"/>
                <w:bCs w:val="0"/>
                <w:sz w:val="20"/>
                <w:szCs w:val="20"/>
              </w:rPr>
              <w:t>Schüttler DSG 304/M4</w:t>
            </w:r>
          </w:p>
        </w:tc>
        <w:tc>
          <w:tcPr>
            <w:tcW w:w="3276" w:type="dxa"/>
          </w:tcPr>
          <w:p w14:paraId="30FB3FCF"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Heidolph</w:t>
            </w:r>
          </w:p>
        </w:tc>
      </w:tr>
      <w:tr w:rsidR="00C85902" w:rsidRPr="00CE4A58" w14:paraId="34254291" w14:textId="77777777" w:rsidTr="00AC3204">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070" w:type="dxa"/>
          </w:tcPr>
          <w:p w14:paraId="7110A91A" w14:textId="77777777" w:rsidR="00C85902" w:rsidRPr="00EF15A2" w:rsidRDefault="00C85902" w:rsidP="002904A8">
            <w:pPr>
              <w:spacing w:line="240" w:lineRule="auto"/>
              <w:rPr>
                <w:b w:val="0"/>
                <w:bCs w:val="0"/>
                <w:sz w:val="20"/>
                <w:szCs w:val="20"/>
              </w:rPr>
            </w:pPr>
            <w:r w:rsidRPr="00EF15A2">
              <w:rPr>
                <w:b w:val="0"/>
                <w:bCs w:val="0"/>
                <w:sz w:val="20"/>
                <w:szCs w:val="20"/>
              </w:rPr>
              <w:t xml:space="preserve">Pipetten Aufsätze </w:t>
            </w:r>
          </w:p>
          <w:p w14:paraId="273450DE" w14:textId="77777777" w:rsidR="00C85902" w:rsidRPr="00EF15A2" w:rsidRDefault="00C85902" w:rsidP="002904A8">
            <w:pPr>
              <w:pStyle w:val="Listenabsatz"/>
              <w:numPr>
                <w:ilvl w:val="0"/>
                <w:numId w:val="7"/>
              </w:numPr>
              <w:spacing w:line="240" w:lineRule="auto"/>
              <w:rPr>
                <w:b w:val="0"/>
                <w:bCs w:val="0"/>
                <w:sz w:val="20"/>
                <w:szCs w:val="20"/>
              </w:rPr>
            </w:pPr>
            <w:r w:rsidRPr="00EF15A2">
              <w:rPr>
                <w:b w:val="0"/>
                <w:bCs w:val="0"/>
                <w:sz w:val="20"/>
                <w:szCs w:val="20"/>
              </w:rPr>
              <w:t>1</w:t>
            </w:r>
            <w:r w:rsidRPr="00EF15A2">
              <w:rPr>
                <w:b w:val="0"/>
                <w:bCs w:val="0"/>
                <w:w w:val="50"/>
                <w:sz w:val="20"/>
                <w:szCs w:val="20"/>
                <w:lang w:val="en-GB"/>
              </w:rPr>
              <w:t> </w:t>
            </w:r>
            <w:r w:rsidRPr="00EF15A2">
              <w:rPr>
                <w:b w:val="0"/>
                <w:bCs w:val="0"/>
                <w:sz w:val="20"/>
                <w:szCs w:val="20"/>
              </w:rPr>
              <w:t>ml</w:t>
            </w:r>
          </w:p>
          <w:p w14:paraId="1D0F2965" w14:textId="77777777" w:rsidR="00C85902" w:rsidRPr="00EF15A2" w:rsidRDefault="00C85902" w:rsidP="002904A8">
            <w:pPr>
              <w:pStyle w:val="Listenabsatz"/>
              <w:numPr>
                <w:ilvl w:val="0"/>
                <w:numId w:val="7"/>
              </w:numPr>
              <w:spacing w:line="240" w:lineRule="auto"/>
              <w:rPr>
                <w:b w:val="0"/>
                <w:bCs w:val="0"/>
                <w:sz w:val="20"/>
                <w:szCs w:val="20"/>
              </w:rPr>
            </w:pPr>
            <w:r w:rsidRPr="00EF15A2">
              <w:rPr>
                <w:b w:val="0"/>
                <w:bCs w:val="0"/>
                <w:sz w:val="20"/>
                <w:szCs w:val="20"/>
              </w:rPr>
              <w:t>5</w:t>
            </w:r>
            <w:r w:rsidRPr="00EF15A2">
              <w:rPr>
                <w:b w:val="0"/>
                <w:bCs w:val="0"/>
                <w:w w:val="50"/>
                <w:sz w:val="20"/>
                <w:szCs w:val="20"/>
                <w:lang w:val="en-GB"/>
              </w:rPr>
              <w:t> </w:t>
            </w:r>
            <w:r w:rsidRPr="00EF15A2">
              <w:rPr>
                <w:b w:val="0"/>
                <w:bCs w:val="0"/>
                <w:sz w:val="20"/>
                <w:szCs w:val="20"/>
              </w:rPr>
              <w:t>ml</w:t>
            </w:r>
          </w:p>
          <w:p w14:paraId="69B3CBE0" w14:textId="77777777" w:rsidR="00C85902" w:rsidRPr="00EF15A2" w:rsidRDefault="00C85902" w:rsidP="002904A8">
            <w:pPr>
              <w:pStyle w:val="Listenabsatz"/>
              <w:numPr>
                <w:ilvl w:val="0"/>
                <w:numId w:val="7"/>
              </w:numPr>
              <w:spacing w:line="240" w:lineRule="auto"/>
              <w:rPr>
                <w:b w:val="0"/>
                <w:bCs w:val="0"/>
                <w:sz w:val="20"/>
                <w:szCs w:val="20"/>
              </w:rPr>
            </w:pPr>
            <w:r w:rsidRPr="00EF15A2">
              <w:rPr>
                <w:b w:val="0"/>
                <w:bCs w:val="0"/>
                <w:sz w:val="20"/>
                <w:szCs w:val="20"/>
              </w:rPr>
              <w:t>10</w:t>
            </w:r>
            <w:r w:rsidRPr="00EF15A2">
              <w:rPr>
                <w:b w:val="0"/>
                <w:bCs w:val="0"/>
                <w:w w:val="50"/>
                <w:sz w:val="20"/>
                <w:szCs w:val="20"/>
                <w:lang w:val="en-GB"/>
              </w:rPr>
              <w:t> </w:t>
            </w:r>
            <w:r w:rsidRPr="00EF15A2">
              <w:rPr>
                <w:b w:val="0"/>
                <w:bCs w:val="0"/>
                <w:sz w:val="20"/>
                <w:szCs w:val="20"/>
              </w:rPr>
              <w:t>ml</w:t>
            </w:r>
          </w:p>
          <w:p w14:paraId="31A13574" w14:textId="77777777" w:rsidR="00C85902" w:rsidRPr="00EF15A2" w:rsidRDefault="00C85902" w:rsidP="002904A8">
            <w:pPr>
              <w:pStyle w:val="Listenabsatz"/>
              <w:numPr>
                <w:ilvl w:val="0"/>
                <w:numId w:val="7"/>
              </w:numPr>
              <w:spacing w:line="240" w:lineRule="auto"/>
              <w:rPr>
                <w:b w:val="0"/>
                <w:bCs w:val="0"/>
                <w:sz w:val="20"/>
                <w:szCs w:val="20"/>
              </w:rPr>
            </w:pPr>
            <w:r w:rsidRPr="00EF15A2">
              <w:rPr>
                <w:b w:val="0"/>
                <w:bCs w:val="0"/>
                <w:sz w:val="20"/>
                <w:szCs w:val="20"/>
              </w:rPr>
              <w:t xml:space="preserve">25 </w:t>
            </w:r>
            <w:r w:rsidRPr="00EF15A2">
              <w:rPr>
                <w:b w:val="0"/>
                <w:bCs w:val="0"/>
                <w:w w:val="50"/>
                <w:sz w:val="20"/>
                <w:szCs w:val="20"/>
                <w:lang w:val="en-GB"/>
              </w:rPr>
              <w:t> </w:t>
            </w:r>
            <w:r w:rsidRPr="00EF15A2">
              <w:rPr>
                <w:b w:val="0"/>
                <w:bCs w:val="0"/>
                <w:sz w:val="20"/>
                <w:szCs w:val="20"/>
              </w:rPr>
              <w:t>ml</w:t>
            </w:r>
          </w:p>
        </w:tc>
        <w:tc>
          <w:tcPr>
            <w:tcW w:w="3276" w:type="dxa"/>
          </w:tcPr>
          <w:p w14:paraId="108C7E42"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p w14:paraId="78D458A7"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NEST REF 17191</w:t>
            </w:r>
          </w:p>
          <w:p w14:paraId="055A0518"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NEST REF 326001</w:t>
            </w:r>
          </w:p>
          <w:p w14:paraId="69821819"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NEST REF 327001</w:t>
            </w:r>
          </w:p>
          <w:p w14:paraId="3EE361A1"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Greiner Bio-one REF 760160</w:t>
            </w:r>
          </w:p>
        </w:tc>
      </w:tr>
      <w:tr w:rsidR="00C85902" w:rsidRPr="00CE4A58" w14:paraId="6713EEA7" w14:textId="77777777" w:rsidTr="00BE5EE0">
        <w:trPr>
          <w:trHeight w:val="50"/>
        </w:trPr>
        <w:tc>
          <w:tcPr>
            <w:cnfStyle w:val="001000000000" w:firstRow="0" w:lastRow="0" w:firstColumn="1" w:lastColumn="0" w:oddVBand="0" w:evenVBand="0" w:oddHBand="0" w:evenHBand="0" w:firstRowFirstColumn="0" w:firstRowLastColumn="0" w:lastRowFirstColumn="0" w:lastRowLastColumn="0"/>
            <w:tcW w:w="5070" w:type="dxa"/>
          </w:tcPr>
          <w:p w14:paraId="14778FCB" w14:textId="77777777" w:rsidR="00C85902" w:rsidRPr="00EF15A2" w:rsidRDefault="00C85902" w:rsidP="002904A8">
            <w:pPr>
              <w:spacing w:line="240" w:lineRule="auto"/>
              <w:rPr>
                <w:b w:val="0"/>
                <w:bCs w:val="0"/>
                <w:sz w:val="20"/>
                <w:szCs w:val="20"/>
              </w:rPr>
            </w:pPr>
            <w:r w:rsidRPr="00EF15A2">
              <w:rPr>
                <w:b w:val="0"/>
                <w:bCs w:val="0"/>
                <w:sz w:val="20"/>
                <w:szCs w:val="20"/>
              </w:rPr>
              <w:t>96 Well Rundbodenplatte</w:t>
            </w:r>
          </w:p>
        </w:tc>
        <w:tc>
          <w:tcPr>
            <w:tcW w:w="3276" w:type="dxa"/>
          </w:tcPr>
          <w:p w14:paraId="49D40D6D"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Greiner bio-one REF 655180</w:t>
            </w:r>
          </w:p>
        </w:tc>
      </w:tr>
      <w:tr w:rsidR="00C85902" w:rsidRPr="00117557" w14:paraId="4D36469E" w14:textId="77777777" w:rsidTr="00BE5EE0">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070" w:type="dxa"/>
          </w:tcPr>
          <w:p w14:paraId="02B777A1"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96 Well Platte für Light Cycler</w:t>
            </w:r>
          </w:p>
        </w:tc>
        <w:tc>
          <w:tcPr>
            <w:tcW w:w="3276" w:type="dxa"/>
          </w:tcPr>
          <w:p w14:paraId="537511BC"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Roche REF 04729692001</w:t>
            </w:r>
          </w:p>
        </w:tc>
      </w:tr>
      <w:tr w:rsidR="00C85902" w:rsidRPr="00A07A54" w14:paraId="11FB0471" w14:textId="77777777" w:rsidTr="00BE5EE0">
        <w:trPr>
          <w:trHeight w:val="389"/>
        </w:trPr>
        <w:tc>
          <w:tcPr>
            <w:cnfStyle w:val="001000000000" w:firstRow="0" w:lastRow="0" w:firstColumn="1" w:lastColumn="0" w:oddVBand="0" w:evenVBand="0" w:oddHBand="0" w:evenHBand="0" w:firstRowFirstColumn="0" w:firstRowLastColumn="0" w:lastRowFirstColumn="0" w:lastRowLastColumn="0"/>
            <w:tcW w:w="5070" w:type="dxa"/>
          </w:tcPr>
          <w:p w14:paraId="36400CC4"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Zählkammern C-Chip Disposable Hemocytometer Chips</w:t>
            </w:r>
          </w:p>
        </w:tc>
        <w:tc>
          <w:tcPr>
            <w:tcW w:w="3276" w:type="dxa"/>
          </w:tcPr>
          <w:p w14:paraId="52368E39"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EF15A2">
              <w:rPr>
                <w:sz w:val="20"/>
                <w:szCs w:val="20"/>
                <w:lang w:val="en-GB"/>
              </w:rPr>
              <w:t>EnTek Neubauer improved DHC-N01</w:t>
            </w:r>
          </w:p>
        </w:tc>
      </w:tr>
      <w:tr w:rsidR="00C85902" w:rsidRPr="00CE4A58" w14:paraId="088EDB1A" w14:textId="77777777" w:rsidTr="00BE5EE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70" w:type="dxa"/>
          </w:tcPr>
          <w:p w14:paraId="65E60D75" w14:textId="77777777" w:rsidR="00C85902" w:rsidRPr="00EF15A2" w:rsidRDefault="00C85902" w:rsidP="002904A8">
            <w:pPr>
              <w:spacing w:line="240" w:lineRule="auto"/>
              <w:rPr>
                <w:b w:val="0"/>
                <w:bCs w:val="0"/>
                <w:sz w:val="20"/>
                <w:szCs w:val="20"/>
              </w:rPr>
            </w:pPr>
            <w:r w:rsidRPr="00EF15A2">
              <w:rPr>
                <w:rFonts w:cstheme="majorBidi"/>
                <w:b w:val="0"/>
                <w:bCs w:val="0"/>
                <w:color w:val="000000" w:themeColor="text1"/>
                <w:sz w:val="20"/>
                <w:szCs w:val="20"/>
              </w:rPr>
              <w:t>Trypan Blue 0,4% o,85% NaCl</w:t>
            </w:r>
          </w:p>
        </w:tc>
        <w:tc>
          <w:tcPr>
            <w:tcW w:w="3276" w:type="dxa"/>
          </w:tcPr>
          <w:p w14:paraId="459F3A5D"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rFonts w:cstheme="majorBidi"/>
                <w:color w:val="000000" w:themeColor="text1"/>
                <w:sz w:val="20"/>
                <w:szCs w:val="20"/>
              </w:rPr>
              <w:t xml:space="preserve">Lanza </w:t>
            </w:r>
            <w:r w:rsidRPr="00EF15A2">
              <w:rPr>
                <w:sz w:val="20"/>
                <w:szCs w:val="20"/>
              </w:rPr>
              <w:t xml:space="preserve">REF </w:t>
            </w:r>
            <w:r w:rsidRPr="00EF15A2">
              <w:rPr>
                <w:rFonts w:cstheme="majorBidi"/>
                <w:color w:val="000000" w:themeColor="text1"/>
                <w:sz w:val="20"/>
                <w:szCs w:val="20"/>
              </w:rPr>
              <w:t>17-942E</w:t>
            </w:r>
          </w:p>
        </w:tc>
      </w:tr>
      <w:tr w:rsidR="00C85902" w:rsidRPr="00CE4A58" w14:paraId="0A565476" w14:textId="77777777" w:rsidTr="00BE5EE0">
        <w:trPr>
          <w:trHeight w:val="314"/>
        </w:trPr>
        <w:tc>
          <w:tcPr>
            <w:cnfStyle w:val="001000000000" w:firstRow="0" w:lastRow="0" w:firstColumn="1" w:lastColumn="0" w:oddVBand="0" w:evenVBand="0" w:oddHBand="0" w:evenHBand="0" w:firstRowFirstColumn="0" w:firstRowLastColumn="0" w:lastRowFirstColumn="0" w:lastRowLastColumn="0"/>
            <w:tcW w:w="5070" w:type="dxa"/>
          </w:tcPr>
          <w:p w14:paraId="6B783BB3" w14:textId="77777777" w:rsidR="00C85902" w:rsidRPr="00EF15A2" w:rsidRDefault="00C85902" w:rsidP="002904A8">
            <w:pPr>
              <w:spacing w:line="240" w:lineRule="auto"/>
              <w:rPr>
                <w:b w:val="0"/>
                <w:bCs w:val="0"/>
                <w:sz w:val="20"/>
                <w:szCs w:val="20"/>
              </w:rPr>
            </w:pPr>
            <w:r w:rsidRPr="00EF15A2">
              <w:rPr>
                <w:rFonts w:cs="Arial"/>
                <w:b w:val="0"/>
                <w:bCs w:val="0"/>
                <w:color w:val="000000"/>
                <w:sz w:val="20"/>
                <w:szCs w:val="20"/>
              </w:rPr>
              <w:t>T</w:t>
            </w:r>
            <w:r w:rsidRPr="00EF15A2">
              <w:rPr>
                <w:b w:val="0"/>
                <w:bCs w:val="0"/>
                <w:w w:val="50"/>
                <w:sz w:val="20"/>
                <w:szCs w:val="20"/>
              </w:rPr>
              <w:t> </w:t>
            </w:r>
            <w:r w:rsidRPr="00EF15A2">
              <w:rPr>
                <w:rFonts w:cs="Arial"/>
                <w:b w:val="0"/>
                <w:bCs w:val="0"/>
                <w:color w:val="000000"/>
                <w:sz w:val="20"/>
                <w:szCs w:val="20"/>
              </w:rPr>
              <w:t>75 Zellkulturflaschen mit Vented Cap</w:t>
            </w:r>
          </w:p>
        </w:tc>
        <w:tc>
          <w:tcPr>
            <w:tcW w:w="3276" w:type="dxa"/>
          </w:tcPr>
          <w:p w14:paraId="7E973843"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Corning REF 3290</w:t>
            </w:r>
          </w:p>
        </w:tc>
      </w:tr>
      <w:tr w:rsidR="00C85902" w:rsidRPr="000F386C" w14:paraId="45A64416" w14:textId="77777777" w:rsidTr="00AC320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070" w:type="dxa"/>
          </w:tcPr>
          <w:p w14:paraId="2CF2D88F" w14:textId="77777777" w:rsidR="00C85902" w:rsidRPr="00EF15A2" w:rsidRDefault="00C85902" w:rsidP="002904A8">
            <w:pPr>
              <w:spacing w:line="240" w:lineRule="auto"/>
              <w:rPr>
                <w:b w:val="0"/>
                <w:bCs w:val="0"/>
                <w:sz w:val="20"/>
                <w:szCs w:val="20"/>
              </w:rPr>
            </w:pPr>
            <w:r w:rsidRPr="00EF15A2">
              <w:rPr>
                <w:b w:val="0"/>
                <w:bCs w:val="0"/>
                <w:sz w:val="20"/>
                <w:szCs w:val="20"/>
              </w:rPr>
              <w:t>T</w:t>
            </w:r>
            <w:r>
              <w:rPr>
                <w:b w:val="0"/>
                <w:bCs w:val="0"/>
                <w:sz w:val="20"/>
                <w:szCs w:val="20"/>
              </w:rPr>
              <w:t xml:space="preserve"> </w:t>
            </w:r>
            <w:r w:rsidRPr="00EF15A2">
              <w:rPr>
                <w:b w:val="0"/>
                <w:bCs w:val="0"/>
                <w:sz w:val="20"/>
                <w:szCs w:val="20"/>
              </w:rPr>
              <w:t xml:space="preserve">25 Zellkulturflaschen Cellbind mit </w:t>
            </w:r>
            <w:r>
              <w:rPr>
                <w:b w:val="0"/>
                <w:bCs w:val="0"/>
                <w:sz w:val="20"/>
                <w:szCs w:val="20"/>
              </w:rPr>
              <w:t>V</w:t>
            </w:r>
            <w:r w:rsidRPr="00EF15A2">
              <w:rPr>
                <w:b w:val="0"/>
                <w:bCs w:val="0"/>
                <w:sz w:val="20"/>
                <w:szCs w:val="20"/>
              </w:rPr>
              <w:t xml:space="preserve">ented Cap </w:t>
            </w:r>
          </w:p>
        </w:tc>
        <w:tc>
          <w:tcPr>
            <w:tcW w:w="3276" w:type="dxa"/>
          </w:tcPr>
          <w:p w14:paraId="7B6AA76F"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rFonts w:cs="Arial"/>
                <w:sz w:val="20"/>
                <w:szCs w:val="20"/>
                <w:lang w:val="en-GB"/>
              </w:rPr>
              <w:t xml:space="preserve">Corning REF </w:t>
            </w:r>
            <w:r w:rsidRPr="00EF15A2">
              <w:rPr>
                <w:sz w:val="20"/>
                <w:szCs w:val="20"/>
                <w:lang w:val="en-GB"/>
              </w:rPr>
              <w:t>3289</w:t>
            </w:r>
          </w:p>
        </w:tc>
      </w:tr>
      <w:tr w:rsidR="00C85902" w:rsidRPr="00CE4A58" w14:paraId="27FA2795" w14:textId="77777777" w:rsidTr="00AC3204">
        <w:trPr>
          <w:trHeight w:val="265"/>
        </w:trPr>
        <w:tc>
          <w:tcPr>
            <w:cnfStyle w:val="001000000000" w:firstRow="0" w:lastRow="0" w:firstColumn="1" w:lastColumn="0" w:oddVBand="0" w:evenVBand="0" w:oddHBand="0" w:evenHBand="0" w:firstRowFirstColumn="0" w:firstRowLastColumn="0" w:lastRowFirstColumn="0" w:lastRowLastColumn="0"/>
            <w:tcW w:w="5070" w:type="dxa"/>
          </w:tcPr>
          <w:p w14:paraId="168ED616" w14:textId="77777777" w:rsidR="00C85902" w:rsidRPr="00EF15A2" w:rsidRDefault="00C85902" w:rsidP="002904A8">
            <w:pPr>
              <w:spacing w:line="240" w:lineRule="auto"/>
              <w:rPr>
                <w:b w:val="0"/>
                <w:bCs w:val="0"/>
                <w:sz w:val="20"/>
                <w:szCs w:val="20"/>
              </w:rPr>
            </w:pPr>
            <w:r w:rsidRPr="00EF15A2">
              <w:rPr>
                <w:b w:val="0"/>
                <w:bCs w:val="0"/>
                <w:sz w:val="20"/>
                <w:szCs w:val="20"/>
              </w:rPr>
              <w:t>Luerlock Spritze</w:t>
            </w:r>
          </w:p>
        </w:tc>
        <w:tc>
          <w:tcPr>
            <w:tcW w:w="3276" w:type="dxa"/>
          </w:tcPr>
          <w:p w14:paraId="00B7D885"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BD SM REF 309649</w:t>
            </w:r>
          </w:p>
        </w:tc>
      </w:tr>
      <w:tr w:rsidR="00C85902" w:rsidRPr="00CE4A58" w14:paraId="291A3610" w14:textId="77777777" w:rsidTr="00BE5EE0">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5070" w:type="dxa"/>
          </w:tcPr>
          <w:p w14:paraId="42CD3AA0" w14:textId="77777777" w:rsidR="00C85902" w:rsidRPr="00EF15A2" w:rsidRDefault="00C85902" w:rsidP="002904A8">
            <w:pPr>
              <w:spacing w:line="240" w:lineRule="auto"/>
              <w:rPr>
                <w:b w:val="0"/>
                <w:bCs w:val="0"/>
                <w:sz w:val="20"/>
                <w:szCs w:val="20"/>
              </w:rPr>
            </w:pPr>
            <w:r w:rsidRPr="00EF15A2">
              <w:rPr>
                <w:b w:val="0"/>
                <w:bCs w:val="0"/>
                <w:sz w:val="20"/>
                <w:szCs w:val="20"/>
              </w:rPr>
              <w:t xml:space="preserve">Luer-Lockfilter </w:t>
            </w:r>
          </w:p>
        </w:tc>
        <w:tc>
          <w:tcPr>
            <w:tcW w:w="3276" w:type="dxa"/>
          </w:tcPr>
          <w:p w14:paraId="564ED3A5"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Sartorius REF 17598</w:t>
            </w:r>
          </w:p>
        </w:tc>
      </w:tr>
      <w:tr w:rsidR="00C85902" w:rsidRPr="00CE4A58" w14:paraId="24ACE4E2" w14:textId="77777777" w:rsidTr="00AC3204">
        <w:trPr>
          <w:trHeight w:val="457"/>
        </w:trPr>
        <w:tc>
          <w:tcPr>
            <w:cnfStyle w:val="001000000000" w:firstRow="0" w:lastRow="0" w:firstColumn="1" w:lastColumn="0" w:oddVBand="0" w:evenVBand="0" w:oddHBand="0" w:evenHBand="0" w:firstRowFirstColumn="0" w:firstRowLastColumn="0" w:lastRowFirstColumn="0" w:lastRowLastColumn="0"/>
            <w:tcW w:w="5070" w:type="dxa"/>
          </w:tcPr>
          <w:p w14:paraId="6D98C479" w14:textId="77777777" w:rsidR="00C85902" w:rsidRPr="00EF15A2" w:rsidRDefault="00C85902" w:rsidP="002904A8">
            <w:pPr>
              <w:spacing w:line="240" w:lineRule="auto"/>
              <w:rPr>
                <w:b w:val="0"/>
                <w:bCs w:val="0"/>
                <w:sz w:val="20"/>
                <w:szCs w:val="20"/>
              </w:rPr>
            </w:pPr>
            <w:r w:rsidRPr="00EF15A2">
              <w:rPr>
                <w:b w:val="0"/>
                <w:bCs w:val="0"/>
                <w:sz w:val="20"/>
                <w:szCs w:val="20"/>
              </w:rPr>
              <w:t xml:space="preserve">Fusselfreies Einmaltuch </w:t>
            </w:r>
          </w:p>
        </w:tc>
        <w:tc>
          <w:tcPr>
            <w:tcW w:w="3276" w:type="dxa"/>
          </w:tcPr>
          <w:p w14:paraId="18B64CCC"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Kimberly Clark Professional REF 05511</w:t>
            </w:r>
          </w:p>
        </w:tc>
      </w:tr>
      <w:tr w:rsidR="00C85902" w:rsidRPr="00CE4A58" w14:paraId="258A9C74" w14:textId="77777777" w:rsidTr="00BE5EE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070" w:type="dxa"/>
          </w:tcPr>
          <w:p w14:paraId="17D5837A" w14:textId="77777777" w:rsidR="00C85902" w:rsidRPr="00EF15A2" w:rsidRDefault="00C85902" w:rsidP="002904A8">
            <w:pPr>
              <w:spacing w:line="240" w:lineRule="auto"/>
              <w:rPr>
                <w:b w:val="0"/>
                <w:bCs w:val="0"/>
                <w:sz w:val="20"/>
                <w:szCs w:val="20"/>
              </w:rPr>
            </w:pPr>
            <w:r w:rsidRPr="00EF15A2">
              <w:rPr>
                <w:b w:val="0"/>
                <w:bCs w:val="0"/>
                <w:sz w:val="20"/>
                <w:szCs w:val="20"/>
              </w:rPr>
              <w:t>RNaway</w:t>
            </w:r>
          </w:p>
        </w:tc>
        <w:tc>
          <w:tcPr>
            <w:tcW w:w="3276" w:type="dxa"/>
          </w:tcPr>
          <w:p w14:paraId="75219CD5"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F15A2">
              <w:rPr>
                <w:sz w:val="20"/>
                <w:szCs w:val="20"/>
              </w:rPr>
              <w:t>Thermofisher Scientific REF 10328-011</w:t>
            </w:r>
          </w:p>
        </w:tc>
      </w:tr>
      <w:tr w:rsidR="00C85902" w:rsidRPr="00CE4A58" w14:paraId="1A7DF6B1" w14:textId="77777777" w:rsidTr="00BE5EE0">
        <w:trPr>
          <w:trHeight w:val="50"/>
        </w:trPr>
        <w:tc>
          <w:tcPr>
            <w:cnfStyle w:val="001000000000" w:firstRow="0" w:lastRow="0" w:firstColumn="1" w:lastColumn="0" w:oddVBand="0" w:evenVBand="0" w:oddHBand="0" w:evenHBand="0" w:firstRowFirstColumn="0" w:firstRowLastColumn="0" w:lastRowFirstColumn="0" w:lastRowLastColumn="0"/>
            <w:tcW w:w="5070" w:type="dxa"/>
          </w:tcPr>
          <w:p w14:paraId="51A0D865" w14:textId="77777777" w:rsidR="00C85902" w:rsidRPr="00EF15A2" w:rsidRDefault="00C85902" w:rsidP="002904A8">
            <w:pPr>
              <w:spacing w:line="240" w:lineRule="auto"/>
              <w:rPr>
                <w:b w:val="0"/>
                <w:bCs w:val="0"/>
                <w:sz w:val="20"/>
                <w:szCs w:val="20"/>
              </w:rPr>
            </w:pPr>
            <w:r w:rsidRPr="00EF15A2">
              <w:rPr>
                <w:b w:val="0"/>
                <w:bCs w:val="0"/>
                <w:sz w:val="20"/>
                <w:szCs w:val="20"/>
              </w:rPr>
              <w:t>Zellschaber</w:t>
            </w:r>
          </w:p>
        </w:tc>
        <w:tc>
          <w:tcPr>
            <w:tcW w:w="3276" w:type="dxa"/>
          </w:tcPr>
          <w:p w14:paraId="229A74C2" w14:textId="77777777" w:rsidR="00C85902" w:rsidRPr="00EF15A2" w:rsidRDefault="00C85902" w:rsidP="002904A8">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15A2">
              <w:rPr>
                <w:sz w:val="20"/>
                <w:szCs w:val="20"/>
              </w:rPr>
              <w:t>Corning REF 3010</w:t>
            </w:r>
          </w:p>
        </w:tc>
      </w:tr>
      <w:tr w:rsidR="00C85902" w:rsidRPr="00117557" w14:paraId="2E32AFEA" w14:textId="77777777" w:rsidTr="00BE5EE0">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70" w:type="dxa"/>
          </w:tcPr>
          <w:p w14:paraId="6D6DB153" w14:textId="77777777" w:rsidR="00C85902" w:rsidRPr="00EF15A2" w:rsidRDefault="00C85902" w:rsidP="002904A8">
            <w:pPr>
              <w:spacing w:line="240" w:lineRule="auto"/>
              <w:rPr>
                <w:b w:val="0"/>
                <w:bCs w:val="0"/>
                <w:sz w:val="20"/>
                <w:szCs w:val="20"/>
                <w:lang w:val="en-GB"/>
              </w:rPr>
            </w:pPr>
            <w:r w:rsidRPr="00EF15A2">
              <w:rPr>
                <w:b w:val="0"/>
                <w:bCs w:val="0"/>
                <w:sz w:val="20"/>
                <w:szCs w:val="20"/>
                <w:lang w:val="en-GB"/>
              </w:rPr>
              <w:t>Advantage RT-for-PCR-Kit</w:t>
            </w:r>
          </w:p>
        </w:tc>
        <w:tc>
          <w:tcPr>
            <w:tcW w:w="3276" w:type="dxa"/>
          </w:tcPr>
          <w:p w14:paraId="2438B2DE" w14:textId="77777777" w:rsidR="00C85902" w:rsidRPr="00EF15A2" w:rsidRDefault="00C85902" w:rsidP="002904A8">
            <w:pPr>
              <w:spacing w:line="240"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EF15A2">
              <w:rPr>
                <w:sz w:val="20"/>
                <w:szCs w:val="20"/>
                <w:lang w:val="en-GB"/>
              </w:rPr>
              <w:t>Takara REF 639506</w:t>
            </w:r>
          </w:p>
        </w:tc>
      </w:tr>
    </w:tbl>
    <w:p w14:paraId="69935F80" w14:textId="77777777" w:rsidR="00C85902" w:rsidRPr="00065F43" w:rsidRDefault="00C85902" w:rsidP="00065F43">
      <w:pPr>
        <w:pStyle w:val="berschrift2"/>
        <w:rPr>
          <w:rFonts w:cs="Arial"/>
          <w:color w:val="000000"/>
          <w:szCs w:val="24"/>
        </w:rPr>
      </w:pPr>
      <w:bookmarkStart w:id="30" w:name="_Toc121158652"/>
      <w:r>
        <w:t>Probenmaterial</w:t>
      </w:r>
      <w:bookmarkEnd w:id="30"/>
    </w:p>
    <w:p w14:paraId="55C393E1" w14:textId="30E0C74F" w:rsidR="00C85902" w:rsidRPr="00AC3204" w:rsidRDefault="00C85902" w:rsidP="00A25C9E">
      <w:pPr>
        <w:rPr>
          <w:rFonts w:cs="Arial"/>
          <w:color w:val="7030A0"/>
          <w:szCs w:val="24"/>
        </w:rPr>
      </w:pPr>
      <w:r w:rsidRPr="006873D6">
        <w:rPr>
          <w:rFonts w:cs="Arial"/>
          <w:color w:val="000000"/>
          <w:szCs w:val="24"/>
        </w:rPr>
        <w:t>Für die Arbeit wurden drei</w:t>
      </w:r>
      <w:r>
        <w:rPr>
          <w:rFonts w:cs="Arial"/>
          <w:color w:val="000000"/>
          <w:szCs w:val="24"/>
        </w:rPr>
        <w:t xml:space="preserve"> kommerziell erhältliche und in der Literatur gut beschriebene Blasentumor </w:t>
      </w:r>
      <w:r w:rsidRPr="000044DB">
        <w:rPr>
          <w:rFonts w:cs="Arial"/>
          <w:color w:val="000000"/>
          <w:szCs w:val="24"/>
        </w:rPr>
        <w:t>Zelllinien (</w:t>
      </w:r>
      <w:r>
        <w:rPr>
          <w:rFonts w:cs="Arial"/>
          <w:color w:val="000000"/>
          <w:szCs w:val="24"/>
        </w:rPr>
        <w:t xml:space="preserve">siehe </w:t>
      </w:r>
      <w:r>
        <w:rPr>
          <w:rFonts w:cs="Arial"/>
          <w:color w:val="000000"/>
          <w:szCs w:val="24"/>
        </w:rPr>
        <w:fldChar w:fldCharType="begin"/>
      </w:r>
      <w:r>
        <w:rPr>
          <w:rFonts w:cs="Arial"/>
          <w:color w:val="000000"/>
          <w:szCs w:val="24"/>
        </w:rPr>
        <w:instrText xml:space="preserve"> REF _Ref100331991 \h </w:instrText>
      </w:r>
      <w:r>
        <w:rPr>
          <w:rFonts w:cs="Arial"/>
          <w:color w:val="000000"/>
          <w:szCs w:val="24"/>
        </w:rPr>
      </w:r>
      <w:r>
        <w:rPr>
          <w:rFonts w:cs="Arial"/>
          <w:color w:val="000000"/>
          <w:szCs w:val="24"/>
        </w:rPr>
        <w:fldChar w:fldCharType="separate"/>
      </w:r>
      <w:r w:rsidR="00791554">
        <w:t xml:space="preserve">Tabelle </w:t>
      </w:r>
      <w:r w:rsidR="00791554">
        <w:rPr>
          <w:noProof/>
        </w:rPr>
        <w:t>4</w:t>
      </w:r>
      <w:r>
        <w:rPr>
          <w:rFonts w:cs="Arial"/>
          <w:color w:val="000000"/>
          <w:szCs w:val="24"/>
        </w:rPr>
        <w:fldChar w:fldCharType="end"/>
      </w:r>
      <w:r>
        <w:rPr>
          <w:rFonts w:cs="Arial"/>
          <w:color w:val="000000"/>
          <w:szCs w:val="24"/>
        </w:rPr>
        <w:t xml:space="preserve">) </w:t>
      </w:r>
      <w:r w:rsidRPr="00136509">
        <w:rPr>
          <w:rFonts w:cs="Arial"/>
          <w:color w:val="000000"/>
          <w:szCs w:val="24"/>
        </w:rPr>
        <w:t>s</w:t>
      </w:r>
      <w:r>
        <w:rPr>
          <w:rFonts w:cs="Arial"/>
          <w:color w:val="000000"/>
          <w:szCs w:val="24"/>
        </w:rPr>
        <w:t>owie zwei aus OP-Material präparierte somatische Urothelzellen aus zwei verschiedenen Harnleitern untersucht (</w:t>
      </w:r>
      <w:r>
        <w:rPr>
          <w:rFonts w:cs="Arial"/>
          <w:color w:val="000000"/>
          <w:szCs w:val="24"/>
        </w:rPr>
        <w:fldChar w:fldCharType="begin"/>
      </w:r>
      <w:r>
        <w:rPr>
          <w:rFonts w:cs="Arial"/>
          <w:color w:val="000000"/>
          <w:szCs w:val="24"/>
        </w:rPr>
        <w:instrText xml:space="preserve"> REF _Ref100332086 \h </w:instrText>
      </w:r>
      <w:r>
        <w:rPr>
          <w:rFonts w:cs="Arial"/>
          <w:color w:val="000000"/>
          <w:szCs w:val="24"/>
        </w:rPr>
      </w:r>
      <w:r>
        <w:rPr>
          <w:rFonts w:cs="Arial"/>
          <w:color w:val="000000"/>
          <w:szCs w:val="24"/>
        </w:rPr>
        <w:fldChar w:fldCharType="separate"/>
      </w:r>
      <w:r w:rsidR="00791554">
        <w:t xml:space="preserve">Tabelle </w:t>
      </w:r>
      <w:r w:rsidR="00791554">
        <w:rPr>
          <w:noProof/>
        </w:rPr>
        <w:t>5</w:t>
      </w:r>
      <w:r>
        <w:rPr>
          <w:rFonts w:cs="Arial"/>
          <w:color w:val="000000"/>
          <w:szCs w:val="24"/>
        </w:rPr>
        <w:fldChar w:fldCharType="end"/>
      </w:r>
      <w:r>
        <w:rPr>
          <w:rFonts w:cs="Arial"/>
          <w:color w:val="000000"/>
          <w:szCs w:val="24"/>
        </w:rPr>
        <w:t>)</w:t>
      </w:r>
      <w:r w:rsidRPr="000044DB">
        <w:rPr>
          <w:rFonts w:cs="Arial"/>
          <w:szCs w:val="24"/>
        </w:rPr>
        <w:t>.</w:t>
      </w:r>
      <w:r w:rsidRPr="00CE4A58">
        <w:rPr>
          <w:rFonts w:cs="Arial"/>
          <w:szCs w:val="24"/>
        </w:rPr>
        <w:t xml:space="preserve"> </w:t>
      </w:r>
    </w:p>
    <w:p w14:paraId="4B0D0B89" w14:textId="70CEE07A" w:rsidR="00C85902" w:rsidRPr="00B85FA8" w:rsidRDefault="00C85902" w:rsidP="00A25C9E">
      <w:pPr>
        <w:rPr>
          <w:rFonts w:cs="Arial"/>
          <w:b/>
          <w:bCs/>
          <w:color w:val="FF0000"/>
          <w:szCs w:val="24"/>
          <w:u w:val="single"/>
        </w:rPr>
      </w:pPr>
      <w:r w:rsidRPr="007459AB">
        <w:rPr>
          <w:rFonts w:cs="Arial"/>
          <w:b/>
          <w:bCs/>
          <w:color w:val="000000"/>
          <w:szCs w:val="24"/>
          <w:u w:val="single"/>
        </w:rPr>
        <w:t>Etablierte Tumor</w:t>
      </w:r>
      <w:r w:rsidR="000B18D1">
        <w:rPr>
          <w:rFonts w:cs="Arial"/>
          <w:b/>
          <w:bCs/>
          <w:color w:val="000000"/>
          <w:szCs w:val="24"/>
          <w:u w:val="single"/>
        </w:rPr>
        <w:t xml:space="preserve"> Zell</w:t>
      </w:r>
      <w:r w:rsidRPr="007459AB">
        <w:rPr>
          <w:rFonts w:cs="Arial"/>
          <w:b/>
          <w:bCs/>
          <w:color w:val="000000"/>
          <w:szCs w:val="24"/>
          <w:u w:val="single"/>
        </w:rPr>
        <w:t>linien:</w:t>
      </w:r>
    </w:p>
    <w:p w14:paraId="4E8056B8" w14:textId="31AED7D8" w:rsidR="00C85902" w:rsidRPr="00EF15A2" w:rsidRDefault="00C85902" w:rsidP="0068628C">
      <w:pPr>
        <w:pStyle w:val="Beschriftung"/>
        <w:keepNext/>
        <w:rPr>
          <w:vanish/>
          <w:specVanish/>
        </w:rPr>
      </w:pPr>
      <w:bookmarkStart w:id="31" w:name="_Ref100331991"/>
      <w:bookmarkStart w:id="32" w:name="_Toc120649846"/>
      <w:r>
        <w:t xml:space="preserve">Tabelle </w:t>
      </w:r>
      <w:r>
        <w:fldChar w:fldCharType="begin"/>
      </w:r>
      <w:r>
        <w:instrText xml:space="preserve"> SEQ Tabelle \* ARABIC </w:instrText>
      </w:r>
      <w:r>
        <w:fldChar w:fldCharType="separate"/>
      </w:r>
      <w:r w:rsidR="00791554">
        <w:rPr>
          <w:noProof/>
        </w:rPr>
        <w:t>4</w:t>
      </w:r>
      <w:r>
        <w:rPr>
          <w:noProof/>
        </w:rPr>
        <w:fldChar w:fldCharType="end"/>
      </w:r>
      <w:bookmarkEnd w:id="31"/>
      <w:r>
        <w:t xml:space="preserve"> </w:t>
      </w:r>
      <w:r w:rsidRPr="0048702C">
        <w:t>Übersicht der Zelllinien</w:t>
      </w:r>
      <w:bookmarkEnd w:id="32"/>
      <w:r>
        <w:t xml:space="preserve"> </w:t>
      </w:r>
    </w:p>
    <w:p w14:paraId="2C8BA36B" w14:textId="77777777" w:rsidR="00C85902" w:rsidRDefault="00C85902" w:rsidP="0068628C">
      <w:pPr>
        <w:pStyle w:val="Beschriftung"/>
        <w:keepNext/>
      </w:pPr>
      <w:r>
        <w:t xml:space="preserve"> </w:t>
      </w:r>
      <w:r>
        <w:br/>
        <w:t>Übersicht über die Eigenschaften der kommerziell erwerblichen Tumor-Zelllinien T24, Cal29 und HT1197</w:t>
      </w:r>
    </w:p>
    <w:tbl>
      <w:tblPr>
        <w:tblStyle w:val="Tabellenraster"/>
        <w:tblW w:w="0" w:type="auto"/>
        <w:tblLook w:val="04A0" w:firstRow="1" w:lastRow="0" w:firstColumn="1" w:lastColumn="0" w:noHBand="0" w:noVBand="1"/>
      </w:tblPr>
      <w:tblGrid>
        <w:gridCol w:w="1526"/>
        <w:gridCol w:w="2410"/>
        <w:gridCol w:w="2126"/>
        <w:gridCol w:w="2432"/>
      </w:tblGrid>
      <w:tr w:rsidR="00C85902" w14:paraId="2F34233E" w14:textId="77777777" w:rsidTr="00AC3204">
        <w:trPr>
          <w:trHeight w:val="227"/>
        </w:trPr>
        <w:tc>
          <w:tcPr>
            <w:tcW w:w="1526" w:type="dxa"/>
            <w:shd w:val="clear" w:color="auto" w:fill="E7E6E6" w:themeFill="background2"/>
          </w:tcPr>
          <w:p w14:paraId="0408F9CB" w14:textId="77777777" w:rsidR="00C85902" w:rsidRPr="007F4EE7" w:rsidRDefault="00C85902" w:rsidP="007F4EE7">
            <w:pPr>
              <w:keepNext/>
              <w:widowControl w:val="0"/>
              <w:spacing w:line="240" w:lineRule="auto"/>
              <w:rPr>
                <w:rFonts w:cs="Arial"/>
                <w:color w:val="000000"/>
                <w:sz w:val="20"/>
              </w:rPr>
            </w:pPr>
          </w:p>
        </w:tc>
        <w:tc>
          <w:tcPr>
            <w:tcW w:w="2410" w:type="dxa"/>
            <w:shd w:val="clear" w:color="auto" w:fill="E7E6E6" w:themeFill="background2"/>
          </w:tcPr>
          <w:p w14:paraId="6763A3E1" w14:textId="77777777" w:rsidR="00C85902" w:rsidRPr="007F4EE7" w:rsidRDefault="00C85902" w:rsidP="007F4EE7">
            <w:pPr>
              <w:keepNext/>
              <w:widowControl w:val="0"/>
              <w:spacing w:line="240" w:lineRule="auto"/>
              <w:jc w:val="center"/>
              <w:rPr>
                <w:rFonts w:cs="Arial"/>
                <w:b/>
                <w:bCs/>
                <w:color w:val="000000"/>
                <w:sz w:val="20"/>
              </w:rPr>
            </w:pPr>
            <w:r w:rsidRPr="007F4EE7">
              <w:rPr>
                <w:rFonts w:cs="Arial"/>
                <w:b/>
                <w:bCs/>
                <w:color w:val="000000"/>
                <w:sz w:val="20"/>
              </w:rPr>
              <w:t xml:space="preserve">Cal29 </w:t>
            </w:r>
            <w:r w:rsidRPr="007F4EE7">
              <w:rPr>
                <w:rFonts w:cs="Arial"/>
                <w:noProof/>
                <w:color w:val="000000"/>
                <w:sz w:val="20"/>
              </w:rPr>
              <w:t>(DSMZ, o.J.)</w:t>
            </w:r>
          </w:p>
        </w:tc>
        <w:tc>
          <w:tcPr>
            <w:tcW w:w="2126" w:type="dxa"/>
            <w:shd w:val="clear" w:color="auto" w:fill="E7E6E6" w:themeFill="background2"/>
          </w:tcPr>
          <w:p w14:paraId="7492E559" w14:textId="77777777" w:rsidR="00C85902" w:rsidRPr="007F4EE7" w:rsidRDefault="00C85902" w:rsidP="007F4EE7">
            <w:pPr>
              <w:keepNext/>
              <w:widowControl w:val="0"/>
              <w:spacing w:line="240" w:lineRule="auto"/>
              <w:jc w:val="center"/>
              <w:rPr>
                <w:rFonts w:cs="Arial"/>
                <w:b/>
                <w:bCs/>
                <w:color w:val="000000"/>
                <w:sz w:val="20"/>
              </w:rPr>
            </w:pPr>
            <w:r w:rsidRPr="007F4EE7">
              <w:rPr>
                <w:rFonts w:cs="Arial"/>
                <w:b/>
                <w:bCs/>
                <w:color w:val="000000"/>
                <w:sz w:val="20"/>
              </w:rPr>
              <w:t>T24</w:t>
            </w:r>
            <w:r w:rsidRPr="007F4EE7">
              <w:rPr>
                <w:rFonts w:cs="Arial"/>
                <w:color w:val="000000"/>
                <w:sz w:val="20"/>
              </w:rPr>
              <w:t xml:space="preserve"> </w:t>
            </w:r>
            <w:r w:rsidRPr="007F4EE7">
              <w:rPr>
                <w:rFonts w:cs="Arial"/>
                <w:noProof/>
                <w:color w:val="000000"/>
                <w:sz w:val="20"/>
              </w:rPr>
              <w:t>(ATCC, o.J.)</w:t>
            </w:r>
          </w:p>
        </w:tc>
        <w:tc>
          <w:tcPr>
            <w:tcW w:w="2432" w:type="dxa"/>
            <w:shd w:val="clear" w:color="auto" w:fill="E7E6E6" w:themeFill="background2"/>
          </w:tcPr>
          <w:p w14:paraId="427575C7" w14:textId="77777777" w:rsidR="00C85902" w:rsidRPr="007F4EE7" w:rsidRDefault="00C85902" w:rsidP="007F4EE7">
            <w:pPr>
              <w:keepNext/>
              <w:widowControl w:val="0"/>
              <w:spacing w:line="240" w:lineRule="auto"/>
              <w:jc w:val="center"/>
              <w:rPr>
                <w:rFonts w:cs="Arial"/>
                <w:b/>
                <w:bCs/>
                <w:color w:val="000000"/>
                <w:sz w:val="20"/>
              </w:rPr>
            </w:pPr>
            <w:r w:rsidRPr="007F4EE7">
              <w:rPr>
                <w:rFonts w:cs="Arial"/>
                <w:b/>
                <w:bCs/>
                <w:color w:val="000000"/>
                <w:sz w:val="20"/>
              </w:rPr>
              <w:t xml:space="preserve">HT1197 </w:t>
            </w:r>
            <w:r w:rsidRPr="007F4EE7">
              <w:rPr>
                <w:rFonts w:cs="Arial"/>
                <w:noProof/>
                <w:color w:val="000000"/>
                <w:sz w:val="20"/>
              </w:rPr>
              <w:t>(ATCC, o.J. )</w:t>
            </w:r>
          </w:p>
        </w:tc>
      </w:tr>
      <w:tr w:rsidR="00C85902" w14:paraId="4A769FB9" w14:textId="77777777" w:rsidTr="00AC3204">
        <w:trPr>
          <w:trHeight w:val="227"/>
        </w:trPr>
        <w:tc>
          <w:tcPr>
            <w:tcW w:w="1526" w:type="dxa"/>
            <w:shd w:val="clear" w:color="auto" w:fill="E7E6E6" w:themeFill="background2"/>
          </w:tcPr>
          <w:p w14:paraId="7E38D417" w14:textId="77777777" w:rsidR="00C85902" w:rsidRPr="007F4EE7" w:rsidRDefault="00C85902" w:rsidP="007F4EE7">
            <w:pPr>
              <w:keepNext/>
              <w:widowControl w:val="0"/>
              <w:spacing w:line="240" w:lineRule="auto"/>
              <w:rPr>
                <w:rFonts w:cs="Arial"/>
                <w:b/>
                <w:bCs/>
                <w:color w:val="000000"/>
                <w:sz w:val="20"/>
              </w:rPr>
            </w:pPr>
            <w:r w:rsidRPr="007F4EE7">
              <w:rPr>
                <w:rFonts w:cs="Arial"/>
                <w:b/>
                <w:bCs/>
                <w:color w:val="000000"/>
                <w:sz w:val="20"/>
              </w:rPr>
              <w:t>Klon-nr.</w:t>
            </w:r>
          </w:p>
        </w:tc>
        <w:tc>
          <w:tcPr>
            <w:tcW w:w="2410" w:type="dxa"/>
          </w:tcPr>
          <w:p w14:paraId="652D7D00"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DSMZ no:</w:t>
            </w:r>
            <w:r>
              <w:rPr>
                <w:rFonts w:cs="Arial"/>
                <w:color w:val="000000"/>
                <w:sz w:val="20"/>
              </w:rPr>
              <w:t xml:space="preserve"> </w:t>
            </w:r>
            <w:r w:rsidRPr="007F4EE7">
              <w:rPr>
                <w:rFonts w:cs="Arial"/>
                <w:color w:val="000000"/>
                <w:sz w:val="20"/>
              </w:rPr>
              <w:t>ACC515</w:t>
            </w:r>
          </w:p>
        </w:tc>
        <w:tc>
          <w:tcPr>
            <w:tcW w:w="2126" w:type="dxa"/>
          </w:tcPr>
          <w:p w14:paraId="1D215294"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ATCC</w:t>
            </w:r>
            <w:r w:rsidRPr="00EF15A2">
              <w:rPr>
                <w:rFonts w:cs="Arial"/>
                <w:color w:val="000000"/>
                <w:sz w:val="20"/>
                <w:vertAlign w:val="superscript"/>
              </w:rPr>
              <w:t>®</w:t>
            </w:r>
            <w:r w:rsidRPr="007F4EE7">
              <w:rPr>
                <w:rFonts w:cs="Arial"/>
                <w:color w:val="000000"/>
                <w:sz w:val="20"/>
              </w:rPr>
              <w:t xml:space="preserve"> HTB-4</w:t>
            </w:r>
          </w:p>
        </w:tc>
        <w:tc>
          <w:tcPr>
            <w:tcW w:w="2432" w:type="dxa"/>
          </w:tcPr>
          <w:p w14:paraId="2269A89F"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ATCC</w:t>
            </w:r>
            <w:r w:rsidRPr="00EF15A2">
              <w:rPr>
                <w:rFonts w:cs="Arial"/>
                <w:color w:val="000000"/>
                <w:sz w:val="20"/>
                <w:vertAlign w:val="superscript"/>
              </w:rPr>
              <w:t>®</w:t>
            </w:r>
            <w:r w:rsidRPr="007F4EE7">
              <w:rPr>
                <w:rFonts w:cs="Arial"/>
                <w:color w:val="000000"/>
                <w:sz w:val="20"/>
              </w:rPr>
              <w:t xml:space="preserve"> CRL- 1473</w:t>
            </w:r>
          </w:p>
        </w:tc>
      </w:tr>
      <w:tr w:rsidR="00C85902" w14:paraId="6EA6DBE4" w14:textId="77777777" w:rsidTr="00AC3204">
        <w:trPr>
          <w:trHeight w:val="227"/>
        </w:trPr>
        <w:tc>
          <w:tcPr>
            <w:tcW w:w="1526" w:type="dxa"/>
            <w:shd w:val="clear" w:color="auto" w:fill="E7E6E6" w:themeFill="background2"/>
          </w:tcPr>
          <w:p w14:paraId="43DA4C61" w14:textId="77777777" w:rsidR="00C85902" w:rsidRPr="007F4EE7" w:rsidRDefault="00C85902" w:rsidP="007F4EE7">
            <w:pPr>
              <w:keepNext/>
              <w:widowControl w:val="0"/>
              <w:spacing w:line="240" w:lineRule="auto"/>
              <w:rPr>
                <w:rFonts w:cs="Arial"/>
                <w:b/>
                <w:bCs/>
                <w:color w:val="000000"/>
                <w:sz w:val="20"/>
              </w:rPr>
            </w:pPr>
            <w:r w:rsidRPr="007F4EE7">
              <w:rPr>
                <w:rFonts w:cs="Arial"/>
                <w:b/>
                <w:bCs/>
                <w:color w:val="000000"/>
                <w:sz w:val="20"/>
              </w:rPr>
              <w:t>Diagnose</w:t>
            </w:r>
          </w:p>
        </w:tc>
        <w:tc>
          <w:tcPr>
            <w:tcW w:w="2410" w:type="dxa"/>
          </w:tcPr>
          <w:p w14:paraId="28B10CB7"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Blasenkrebs</w:t>
            </w:r>
          </w:p>
        </w:tc>
        <w:tc>
          <w:tcPr>
            <w:tcW w:w="2126" w:type="dxa"/>
          </w:tcPr>
          <w:p w14:paraId="2B419C67"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Blasenkrebs</w:t>
            </w:r>
          </w:p>
        </w:tc>
        <w:tc>
          <w:tcPr>
            <w:tcW w:w="2432" w:type="dxa"/>
          </w:tcPr>
          <w:p w14:paraId="0F19DFAE"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Blasenkrebs</w:t>
            </w:r>
          </w:p>
        </w:tc>
      </w:tr>
      <w:tr w:rsidR="00C85902" w14:paraId="4BDFBF69" w14:textId="77777777" w:rsidTr="00AC3204">
        <w:trPr>
          <w:trHeight w:val="227"/>
        </w:trPr>
        <w:tc>
          <w:tcPr>
            <w:tcW w:w="1526" w:type="dxa"/>
            <w:shd w:val="clear" w:color="auto" w:fill="E7E6E6" w:themeFill="background2"/>
          </w:tcPr>
          <w:p w14:paraId="124EB730" w14:textId="77777777" w:rsidR="00C85902" w:rsidRPr="007F4EE7" w:rsidRDefault="00C85902" w:rsidP="007F4EE7">
            <w:pPr>
              <w:keepNext/>
              <w:widowControl w:val="0"/>
              <w:spacing w:line="240" w:lineRule="auto"/>
              <w:rPr>
                <w:rFonts w:cs="Arial"/>
                <w:b/>
                <w:bCs/>
                <w:color w:val="000000"/>
                <w:sz w:val="20"/>
              </w:rPr>
            </w:pPr>
            <w:r w:rsidRPr="007F4EE7">
              <w:rPr>
                <w:rFonts w:cs="Arial"/>
                <w:b/>
                <w:bCs/>
                <w:color w:val="000000"/>
                <w:sz w:val="20"/>
              </w:rPr>
              <w:t>Geschlecht</w:t>
            </w:r>
          </w:p>
        </w:tc>
        <w:tc>
          <w:tcPr>
            <w:tcW w:w="2410" w:type="dxa"/>
          </w:tcPr>
          <w:p w14:paraId="70D65B91"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weiblich</w:t>
            </w:r>
          </w:p>
        </w:tc>
        <w:tc>
          <w:tcPr>
            <w:tcW w:w="2126" w:type="dxa"/>
          </w:tcPr>
          <w:p w14:paraId="6A83AD2E"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weiblich</w:t>
            </w:r>
          </w:p>
        </w:tc>
        <w:tc>
          <w:tcPr>
            <w:tcW w:w="2432" w:type="dxa"/>
          </w:tcPr>
          <w:p w14:paraId="58979FF1"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männlich</w:t>
            </w:r>
          </w:p>
        </w:tc>
      </w:tr>
      <w:tr w:rsidR="00C85902" w14:paraId="6F1B562F" w14:textId="77777777" w:rsidTr="00AC3204">
        <w:trPr>
          <w:trHeight w:val="227"/>
        </w:trPr>
        <w:tc>
          <w:tcPr>
            <w:tcW w:w="1526" w:type="dxa"/>
            <w:shd w:val="clear" w:color="auto" w:fill="E7E6E6" w:themeFill="background2"/>
          </w:tcPr>
          <w:p w14:paraId="61BEF755" w14:textId="77777777" w:rsidR="00C85902" w:rsidRPr="007F4EE7" w:rsidRDefault="00C85902" w:rsidP="007F4EE7">
            <w:pPr>
              <w:keepNext/>
              <w:widowControl w:val="0"/>
              <w:spacing w:line="240" w:lineRule="auto"/>
              <w:rPr>
                <w:rFonts w:cs="Arial"/>
                <w:b/>
                <w:bCs/>
                <w:color w:val="000000"/>
                <w:sz w:val="20"/>
              </w:rPr>
            </w:pPr>
            <w:r w:rsidRPr="007F4EE7">
              <w:rPr>
                <w:rFonts w:cs="Arial"/>
                <w:b/>
                <w:bCs/>
                <w:color w:val="000000"/>
                <w:sz w:val="20"/>
              </w:rPr>
              <w:t>Alter</w:t>
            </w:r>
          </w:p>
        </w:tc>
        <w:tc>
          <w:tcPr>
            <w:tcW w:w="2410" w:type="dxa"/>
          </w:tcPr>
          <w:p w14:paraId="76237010"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80 Jahre</w:t>
            </w:r>
          </w:p>
        </w:tc>
        <w:tc>
          <w:tcPr>
            <w:tcW w:w="2126" w:type="dxa"/>
          </w:tcPr>
          <w:p w14:paraId="488EFD23"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81 Jahre</w:t>
            </w:r>
          </w:p>
        </w:tc>
        <w:tc>
          <w:tcPr>
            <w:tcW w:w="2432" w:type="dxa"/>
          </w:tcPr>
          <w:p w14:paraId="30921423" w14:textId="77777777" w:rsidR="00C85902" w:rsidRPr="007F4EE7" w:rsidRDefault="00C85902" w:rsidP="007F4EE7">
            <w:pPr>
              <w:keepNext/>
              <w:widowControl w:val="0"/>
              <w:spacing w:line="240" w:lineRule="auto"/>
              <w:rPr>
                <w:rFonts w:cs="Arial"/>
                <w:color w:val="000000"/>
                <w:sz w:val="20"/>
              </w:rPr>
            </w:pPr>
            <w:r w:rsidRPr="007F4EE7">
              <w:rPr>
                <w:rFonts w:cs="Arial"/>
                <w:color w:val="000000"/>
                <w:sz w:val="20"/>
              </w:rPr>
              <w:t>44 Jahre</w:t>
            </w:r>
          </w:p>
        </w:tc>
      </w:tr>
    </w:tbl>
    <w:p w14:paraId="053BAE31" w14:textId="77777777" w:rsidR="000B18D1" w:rsidRDefault="000B18D1" w:rsidP="006873D6">
      <w:pPr>
        <w:rPr>
          <w:rFonts w:cs="Arial"/>
          <w:color w:val="000000"/>
          <w:szCs w:val="24"/>
        </w:rPr>
      </w:pPr>
      <w:r>
        <w:rPr>
          <w:rFonts w:cs="Arial"/>
          <w:color w:val="000000"/>
          <w:szCs w:val="24"/>
        </w:rPr>
        <w:br/>
      </w:r>
    </w:p>
    <w:p w14:paraId="7C35E5BB" w14:textId="3FAF660F" w:rsidR="00C85902" w:rsidRDefault="00C85902" w:rsidP="006873D6">
      <w:pPr>
        <w:rPr>
          <w:rFonts w:cs="Arial"/>
          <w:color w:val="000000"/>
          <w:szCs w:val="24"/>
        </w:rPr>
      </w:pPr>
      <w:r>
        <w:rPr>
          <w:rFonts w:cs="Arial"/>
          <w:color w:val="000000"/>
          <w:szCs w:val="24"/>
        </w:rPr>
        <w:t xml:space="preserve">Für den Versuch wurden sowohl kontaminationsfreie als auch mit Mykoplasmen infizierte Zellen separat gehalten und getestet. Hierbei ist es wichtig hervorzuheben, dass die Zelllinien Cal29 und T24 bereits infiziert aufgetaut wurden und über einen Zeitraum von vier Wochen mit gesunden Kulturen der Zelllinien verglichen wurden, während bei HT1197 nach einer Woche eine Neuinfektion durchgeführt wurde (siehe </w:t>
      </w:r>
      <w:r>
        <w:rPr>
          <w:rFonts w:cs="Arial"/>
          <w:color w:val="000000"/>
          <w:szCs w:val="24"/>
        </w:rPr>
        <w:fldChar w:fldCharType="begin"/>
      </w:r>
      <w:r>
        <w:rPr>
          <w:rFonts w:cs="Arial"/>
          <w:color w:val="000000"/>
          <w:szCs w:val="24"/>
        </w:rPr>
        <w:instrText xml:space="preserve"> REF _Ref67389188 \r \h </w:instrText>
      </w:r>
      <w:r>
        <w:rPr>
          <w:rFonts w:cs="Arial"/>
          <w:color w:val="000000"/>
          <w:szCs w:val="24"/>
        </w:rPr>
      </w:r>
      <w:r>
        <w:rPr>
          <w:rFonts w:cs="Arial"/>
          <w:color w:val="000000"/>
          <w:szCs w:val="24"/>
        </w:rPr>
        <w:fldChar w:fldCharType="separate"/>
      </w:r>
      <w:r w:rsidR="00791554">
        <w:rPr>
          <w:rFonts w:cs="Arial"/>
          <w:color w:val="000000"/>
          <w:szCs w:val="24"/>
        </w:rPr>
        <w:t>2.3.3</w:t>
      </w:r>
      <w:r>
        <w:rPr>
          <w:rFonts w:cs="Arial"/>
          <w:color w:val="000000"/>
          <w:szCs w:val="24"/>
        </w:rPr>
        <w:fldChar w:fldCharType="end"/>
      </w:r>
      <w:r>
        <w:rPr>
          <w:rFonts w:cs="Arial"/>
          <w:color w:val="000000"/>
          <w:szCs w:val="24"/>
        </w:rPr>
        <w:t xml:space="preserve">). Der genaue Versuchsaufbau der etablierten Zelllinien ist in </w:t>
      </w:r>
      <w:r>
        <w:rPr>
          <w:rFonts w:cs="Arial"/>
          <w:color w:val="000000"/>
          <w:szCs w:val="24"/>
        </w:rPr>
        <w:fldChar w:fldCharType="begin"/>
      </w:r>
      <w:r>
        <w:rPr>
          <w:rFonts w:cs="Arial"/>
          <w:color w:val="000000"/>
          <w:szCs w:val="24"/>
        </w:rPr>
        <w:instrText xml:space="preserve"> REF _Ref84944774 \h </w:instrText>
      </w:r>
      <w:r>
        <w:rPr>
          <w:rFonts w:cs="Arial"/>
          <w:color w:val="000000"/>
          <w:szCs w:val="24"/>
        </w:rPr>
      </w:r>
      <w:r>
        <w:rPr>
          <w:rFonts w:cs="Arial"/>
          <w:color w:val="000000"/>
          <w:szCs w:val="24"/>
        </w:rPr>
        <w:fldChar w:fldCharType="separate"/>
      </w:r>
      <w:r w:rsidR="00791554">
        <w:t xml:space="preserve">Abbildung </w:t>
      </w:r>
      <w:r w:rsidR="00791554">
        <w:rPr>
          <w:noProof/>
        </w:rPr>
        <w:t>3</w:t>
      </w:r>
      <w:r>
        <w:rPr>
          <w:rFonts w:cs="Arial"/>
          <w:color w:val="000000"/>
          <w:szCs w:val="24"/>
        </w:rPr>
        <w:fldChar w:fldCharType="end"/>
      </w:r>
      <w:r>
        <w:rPr>
          <w:rFonts w:cs="Arial"/>
          <w:color w:val="000000"/>
          <w:szCs w:val="24"/>
        </w:rPr>
        <w:t xml:space="preserve"> dargestellt. </w:t>
      </w:r>
    </w:p>
    <w:p w14:paraId="3ABB3902" w14:textId="77777777" w:rsidR="00C85902" w:rsidRDefault="00C85902" w:rsidP="009423D0">
      <w:pPr>
        <w:keepNext/>
      </w:pPr>
      <w:r>
        <w:rPr>
          <w:rFonts w:cs="Arial"/>
          <w:noProof/>
          <w:color w:val="000000"/>
          <w:szCs w:val="24"/>
        </w:rPr>
        <w:drawing>
          <wp:inline distT="0" distB="0" distL="0" distR="0" wp14:anchorId="36A77E1F" wp14:editId="5560233B">
            <wp:extent cx="5149850" cy="2897093"/>
            <wp:effectExtent l="0" t="0" r="0" b="0"/>
            <wp:docPr id="26" name="Grafik 2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is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5604" cy="2905956"/>
                    </a:xfrm>
                    <a:prstGeom prst="rect">
                      <a:avLst/>
                    </a:prstGeom>
                  </pic:spPr>
                </pic:pic>
              </a:graphicData>
            </a:graphic>
          </wp:inline>
        </w:drawing>
      </w:r>
    </w:p>
    <w:p w14:paraId="3B86E827" w14:textId="7948B46C" w:rsidR="00C85902" w:rsidRPr="00FA06F3" w:rsidRDefault="00C85902" w:rsidP="009423D0">
      <w:pPr>
        <w:pStyle w:val="Beschriftung"/>
        <w:rPr>
          <w:vanish/>
          <w:specVanish/>
        </w:rPr>
      </w:pPr>
      <w:bookmarkStart w:id="33" w:name="_Ref84944774"/>
      <w:bookmarkStart w:id="34" w:name="_Toc120649880"/>
      <w:r>
        <w:t xml:space="preserve">Abbildung </w:t>
      </w:r>
      <w:r>
        <w:fldChar w:fldCharType="begin"/>
      </w:r>
      <w:r>
        <w:instrText xml:space="preserve"> SEQ Abbildung \* ARABIC </w:instrText>
      </w:r>
      <w:r>
        <w:fldChar w:fldCharType="separate"/>
      </w:r>
      <w:r w:rsidR="00791554">
        <w:rPr>
          <w:noProof/>
        </w:rPr>
        <w:t>3</w:t>
      </w:r>
      <w:r>
        <w:rPr>
          <w:noProof/>
        </w:rPr>
        <w:fldChar w:fldCharType="end"/>
      </w:r>
      <w:bookmarkEnd w:id="33"/>
      <w:r>
        <w:t xml:space="preserve"> Versuchsaufbau der etablierten Zelllinien Cal29, T24 und HT1197</w:t>
      </w:r>
      <w:bookmarkEnd w:id="34"/>
      <w:r>
        <w:t xml:space="preserve"> </w:t>
      </w:r>
    </w:p>
    <w:p w14:paraId="4185059F" w14:textId="77777777" w:rsidR="00C85902" w:rsidRPr="00004B4B" w:rsidRDefault="00C85902" w:rsidP="009423D0">
      <w:pPr>
        <w:pStyle w:val="Beschriftung"/>
        <w:rPr>
          <w:rFonts w:cs="Arial"/>
          <w:color w:val="000000"/>
          <w:szCs w:val="24"/>
        </w:rPr>
      </w:pPr>
      <w:r>
        <w:t xml:space="preserve"> </w:t>
      </w:r>
      <w:r>
        <w:br/>
        <w:t xml:space="preserve">In dieser Abbildung ist der Versuchsaufbau für die kommerziellen Tumorlinien Cal29, T24 und HT1197 skizziert wobei zwischen den nicht-infizierte und den infizierten Kulturen unterschieden wird. </w:t>
      </w:r>
      <w:r>
        <w:br/>
        <w:t>OM= Ohne Mykoplasmeninfektion  M= mit Mykoplasmeninfektion</w:t>
      </w:r>
    </w:p>
    <w:p w14:paraId="27357C5B" w14:textId="77777777" w:rsidR="00C85902" w:rsidRDefault="00C85902" w:rsidP="006873D6">
      <w:pPr>
        <w:rPr>
          <w:rFonts w:cs="Arial"/>
          <w:color w:val="000000"/>
          <w:szCs w:val="24"/>
        </w:rPr>
      </w:pPr>
      <w:r w:rsidRPr="007459AB">
        <w:rPr>
          <w:rFonts w:cs="Arial"/>
          <w:b/>
          <w:bCs/>
          <w:color w:val="000000" w:themeColor="text1"/>
          <w:szCs w:val="24"/>
          <w:u w:val="single"/>
        </w:rPr>
        <w:t>Aus OP-Material präparierte und isolierte Zellen</w:t>
      </w:r>
      <w:r>
        <w:rPr>
          <w:rFonts w:cs="Arial"/>
          <w:color w:val="000000"/>
          <w:szCs w:val="24"/>
        </w:rPr>
        <w:t>:</w:t>
      </w:r>
    </w:p>
    <w:p w14:paraId="49F06F7F" w14:textId="7693D82B" w:rsidR="00C85902" w:rsidRDefault="00C85902" w:rsidP="006873D6">
      <w:pPr>
        <w:rPr>
          <w:rFonts w:cs="Arial"/>
          <w:color w:val="000000"/>
          <w:szCs w:val="24"/>
        </w:rPr>
      </w:pPr>
      <w:r>
        <w:rPr>
          <w:rFonts w:cs="Arial"/>
          <w:color w:val="000000"/>
          <w:szCs w:val="24"/>
        </w:rPr>
        <w:t xml:space="preserve">Die Harnleiterzellen (siehe </w:t>
      </w:r>
      <w:r>
        <w:rPr>
          <w:rFonts w:cs="Arial"/>
          <w:color w:val="000000"/>
          <w:szCs w:val="24"/>
        </w:rPr>
        <w:fldChar w:fldCharType="begin"/>
      </w:r>
      <w:r>
        <w:rPr>
          <w:rFonts w:cs="Arial"/>
          <w:color w:val="000000"/>
          <w:szCs w:val="24"/>
        </w:rPr>
        <w:instrText xml:space="preserve"> REF _Ref100332086 \h </w:instrText>
      </w:r>
      <w:r>
        <w:rPr>
          <w:rFonts w:cs="Arial"/>
          <w:color w:val="000000"/>
          <w:szCs w:val="24"/>
        </w:rPr>
      </w:r>
      <w:r>
        <w:rPr>
          <w:rFonts w:cs="Arial"/>
          <w:color w:val="000000"/>
          <w:szCs w:val="24"/>
        </w:rPr>
        <w:fldChar w:fldCharType="separate"/>
      </w:r>
      <w:r w:rsidR="00791554">
        <w:t xml:space="preserve">Tabelle </w:t>
      </w:r>
      <w:r w:rsidR="00791554">
        <w:rPr>
          <w:noProof/>
        </w:rPr>
        <w:t>5</w:t>
      </w:r>
      <w:r>
        <w:rPr>
          <w:rFonts w:cs="Arial"/>
          <w:color w:val="000000"/>
          <w:szCs w:val="24"/>
        </w:rPr>
        <w:fldChar w:fldCharType="end"/>
      </w:r>
      <w:r>
        <w:rPr>
          <w:rFonts w:cs="Arial"/>
          <w:color w:val="000000"/>
          <w:szCs w:val="24"/>
        </w:rPr>
        <w:t xml:space="preserve">) wurden aus Harnleitern aus Präparaten der Urologie der Uniklinik Tübingen isoliert und sofort verwendet. Die Verwendung dieser Zellen zu Studienzwecken wurde von der Ethikkommission unter </w:t>
      </w:r>
      <w:r w:rsidRPr="0044353A">
        <w:rPr>
          <w:rFonts w:cs="Arial"/>
          <w:color w:val="000000"/>
          <w:szCs w:val="24"/>
        </w:rPr>
        <w:t>840/2020B02</w:t>
      </w:r>
      <w:r>
        <w:rPr>
          <w:rFonts w:cs="Arial"/>
          <w:color w:val="000000"/>
          <w:szCs w:val="24"/>
        </w:rPr>
        <w:t xml:space="preserve"> bewilligt. Die Zellen wurden erst expandiert und schließlich auf sechs T25 Flaschen verteilt. Nach der zweiten Passage erfolgte nach einer Woche die Infektion von drei der sechs Kulturflaschen mit jeweils 1</w:t>
      </w:r>
      <w:r w:rsidRPr="00604AF7">
        <w:rPr>
          <w:w w:val="50"/>
        </w:rPr>
        <w:t> </w:t>
      </w:r>
      <w:r>
        <w:rPr>
          <w:rFonts w:cs="Arial"/>
          <w:color w:val="000000"/>
          <w:szCs w:val="24"/>
        </w:rPr>
        <w:t xml:space="preserve">ml aufbereitetem T24 Überstand (siehe </w:t>
      </w:r>
      <w:r>
        <w:rPr>
          <w:rFonts w:cs="Arial"/>
          <w:color w:val="000000"/>
          <w:szCs w:val="24"/>
        </w:rPr>
        <w:fldChar w:fldCharType="begin"/>
      </w:r>
      <w:r>
        <w:rPr>
          <w:rFonts w:cs="Arial"/>
          <w:color w:val="000000"/>
          <w:szCs w:val="24"/>
        </w:rPr>
        <w:instrText xml:space="preserve"> REF _Ref67389188 \r \h </w:instrText>
      </w:r>
      <w:r>
        <w:rPr>
          <w:rFonts w:cs="Arial"/>
          <w:color w:val="000000"/>
          <w:szCs w:val="24"/>
        </w:rPr>
      </w:r>
      <w:r>
        <w:rPr>
          <w:rFonts w:cs="Arial"/>
          <w:color w:val="000000"/>
          <w:szCs w:val="24"/>
        </w:rPr>
        <w:fldChar w:fldCharType="separate"/>
      </w:r>
      <w:r w:rsidR="00791554">
        <w:rPr>
          <w:rFonts w:cs="Arial"/>
          <w:color w:val="000000"/>
          <w:szCs w:val="24"/>
        </w:rPr>
        <w:t>2.3.3</w:t>
      </w:r>
      <w:r>
        <w:rPr>
          <w:rFonts w:cs="Arial"/>
          <w:color w:val="000000"/>
          <w:szCs w:val="24"/>
        </w:rPr>
        <w:fldChar w:fldCharType="end"/>
      </w:r>
      <w:r>
        <w:rPr>
          <w:rFonts w:cs="Arial"/>
          <w:color w:val="000000"/>
          <w:szCs w:val="24"/>
        </w:rPr>
        <w:t>).</w:t>
      </w:r>
    </w:p>
    <w:p w14:paraId="27F23D12" w14:textId="0478AB28" w:rsidR="00C85902" w:rsidRPr="00FA06F3" w:rsidRDefault="00C85902" w:rsidP="0068628C">
      <w:pPr>
        <w:pStyle w:val="Beschriftung"/>
        <w:keepNext/>
        <w:rPr>
          <w:vanish/>
          <w:specVanish/>
        </w:rPr>
      </w:pPr>
      <w:bookmarkStart w:id="35" w:name="_Ref100332086"/>
      <w:bookmarkStart w:id="36" w:name="_Toc120649847"/>
      <w:r>
        <w:t xml:space="preserve">Tabelle </w:t>
      </w:r>
      <w:r>
        <w:fldChar w:fldCharType="begin"/>
      </w:r>
      <w:r>
        <w:instrText xml:space="preserve"> SEQ Tabelle \* ARABIC </w:instrText>
      </w:r>
      <w:r>
        <w:fldChar w:fldCharType="separate"/>
      </w:r>
      <w:r w:rsidR="00791554">
        <w:rPr>
          <w:noProof/>
        </w:rPr>
        <w:t>5</w:t>
      </w:r>
      <w:r>
        <w:rPr>
          <w:noProof/>
        </w:rPr>
        <w:fldChar w:fldCharType="end"/>
      </w:r>
      <w:bookmarkEnd w:id="35"/>
      <w:r>
        <w:t xml:space="preserve"> Übersicht der Harnleiterzellen</w:t>
      </w:r>
      <w:bookmarkEnd w:id="36"/>
      <w:r>
        <w:t xml:space="preserve"> </w:t>
      </w:r>
    </w:p>
    <w:p w14:paraId="131D9E87" w14:textId="77777777" w:rsidR="00C85902" w:rsidRDefault="00C85902" w:rsidP="0068628C">
      <w:pPr>
        <w:pStyle w:val="Beschriftung"/>
        <w:keepNext/>
      </w:pPr>
      <w:r>
        <w:t xml:space="preserve"> </w:t>
      </w:r>
      <w:r>
        <w:br/>
        <w:t>In dieser Tabelle sind die Eigenschaften der aus OP-Präparaten isolieren Harnleiterzellen aufgeführt</w:t>
      </w:r>
    </w:p>
    <w:tbl>
      <w:tblPr>
        <w:tblStyle w:val="Tabellenraster"/>
        <w:tblW w:w="0" w:type="auto"/>
        <w:tblLook w:val="04A0" w:firstRow="1" w:lastRow="0" w:firstColumn="1" w:lastColumn="0" w:noHBand="0" w:noVBand="1"/>
      </w:tblPr>
      <w:tblGrid>
        <w:gridCol w:w="2833"/>
        <w:gridCol w:w="2836"/>
        <w:gridCol w:w="2825"/>
      </w:tblGrid>
      <w:tr w:rsidR="00C85902" w14:paraId="3E8ED259" w14:textId="77777777" w:rsidTr="007C0ECC">
        <w:tc>
          <w:tcPr>
            <w:tcW w:w="2833" w:type="dxa"/>
            <w:shd w:val="clear" w:color="auto" w:fill="E7E6E6" w:themeFill="background2"/>
          </w:tcPr>
          <w:p w14:paraId="7257635A" w14:textId="77777777" w:rsidR="00C85902" w:rsidRPr="00FA06F3" w:rsidRDefault="00C85902" w:rsidP="00FA06F3">
            <w:pPr>
              <w:spacing w:line="240" w:lineRule="auto"/>
              <w:rPr>
                <w:rFonts w:cs="Arial"/>
                <w:color w:val="000000"/>
                <w:sz w:val="20"/>
              </w:rPr>
            </w:pPr>
          </w:p>
        </w:tc>
        <w:tc>
          <w:tcPr>
            <w:tcW w:w="2836" w:type="dxa"/>
            <w:shd w:val="clear" w:color="auto" w:fill="E7E6E6" w:themeFill="background2"/>
          </w:tcPr>
          <w:p w14:paraId="1D8B6A62" w14:textId="77777777" w:rsidR="00C85902" w:rsidRPr="00FA06F3" w:rsidRDefault="00C85902" w:rsidP="00FA06F3">
            <w:pPr>
              <w:spacing w:line="240" w:lineRule="auto"/>
              <w:jc w:val="center"/>
              <w:rPr>
                <w:rFonts w:cs="Arial"/>
                <w:b/>
                <w:bCs/>
                <w:color w:val="000000"/>
                <w:sz w:val="20"/>
              </w:rPr>
            </w:pPr>
            <w:r w:rsidRPr="00FA06F3">
              <w:rPr>
                <w:rFonts w:cs="Arial"/>
                <w:b/>
                <w:bCs/>
                <w:color w:val="000000"/>
                <w:sz w:val="20"/>
              </w:rPr>
              <w:t>HL 20/31</w:t>
            </w:r>
          </w:p>
        </w:tc>
        <w:tc>
          <w:tcPr>
            <w:tcW w:w="2825" w:type="dxa"/>
            <w:shd w:val="clear" w:color="auto" w:fill="E7E6E6" w:themeFill="background2"/>
          </w:tcPr>
          <w:p w14:paraId="087D00A8" w14:textId="77777777" w:rsidR="00C85902" w:rsidRPr="00FA06F3" w:rsidRDefault="00C85902" w:rsidP="00FA06F3">
            <w:pPr>
              <w:spacing w:line="240" w:lineRule="auto"/>
              <w:jc w:val="center"/>
              <w:rPr>
                <w:rFonts w:cs="Arial"/>
                <w:b/>
                <w:bCs/>
                <w:color w:val="000000"/>
                <w:sz w:val="20"/>
              </w:rPr>
            </w:pPr>
            <w:r w:rsidRPr="00FA06F3">
              <w:rPr>
                <w:rFonts w:cs="Arial"/>
                <w:b/>
                <w:bCs/>
                <w:color w:val="000000"/>
                <w:sz w:val="20"/>
              </w:rPr>
              <w:t>HL 20/32</w:t>
            </w:r>
          </w:p>
        </w:tc>
      </w:tr>
      <w:tr w:rsidR="00C85902" w14:paraId="4BCEE617" w14:textId="77777777" w:rsidTr="00FD20D4">
        <w:tc>
          <w:tcPr>
            <w:tcW w:w="2833" w:type="dxa"/>
            <w:shd w:val="clear" w:color="auto" w:fill="E7E6E6" w:themeFill="background2"/>
          </w:tcPr>
          <w:p w14:paraId="08286558" w14:textId="77777777" w:rsidR="00C85902" w:rsidRPr="00FA06F3" w:rsidRDefault="00C85902" w:rsidP="00FA06F3">
            <w:pPr>
              <w:spacing w:line="240" w:lineRule="auto"/>
              <w:rPr>
                <w:rFonts w:cs="Arial"/>
                <w:b/>
                <w:bCs/>
                <w:color w:val="000000"/>
                <w:sz w:val="20"/>
              </w:rPr>
            </w:pPr>
            <w:r w:rsidRPr="00FA06F3">
              <w:rPr>
                <w:rFonts w:cs="Arial"/>
                <w:b/>
                <w:bCs/>
                <w:color w:val="000000"/>
                <w:sz w:val="20"/>
              </w:rPr>
              <w:t>Diagnose</w:t>
            </w:r>
          </w:p>
        </w:tc>
        <w:tc>
          <w:tcPr>
            <w:tcW w:w="2836" w:type="dxa"/>
          </w:tcPr>
          <w:p w14:paraId="10C49F9D" w14:textId="77777777" w:rsidR="00C85902" w:rsidRPr="00FA06F3" w:rsidRDefault="00C85902" w:rsidP="00FA06F3">
            <w:pPr>
              <w:spacing w:line="240" w:lineRule="auto"/>
              <w:rPr>
                <w:rFonts w:cs="Arial"/>
                <w:color w:val="000000"/>
                <w:sz w:val="20"/>
              </w:rPr>
            </w:pPr>
            <w:r w:rsidRPr="00FA06F3">
              <w:rPr>
                <w:rFonts w:cs="Arial"/>
                <w:color w:val="000000"/>
                <w:sz w:val="20"/>
              </w:rPr>
              <w:t>Schrumpfniere</w:t>
            </w:r>
          </w:p>
        </w:tc>
        <w:tc>
          <w:tcPr>
            <w:tcW w:w="2825" w:type="dxa"/>
          </w:tcPr>
          <w:p w14:paraId="622BF7D1" w14:textId="77777777" w:rsidR="00C85902" w:rsidRPr="00FA06F3" w:rsidRDefault="00C85902" w:rsidP="00FA06F3">
            <w:pPr>
              <w:spacing w:line="240" w:lineRule="auto"/>
              <w:rPr>
                <w:rFonts w:cs="Arial"/>
                <w:color w:val="000000"/>
                <w:sz w:val="20"/>
              </w:rPr>
            </w:pPr>
            <w:r w:rsidRPr="00FA06F3">
              <w:rPr>
                <w:rFonts w:cs="Arial"/>
                <w:color w:val="000000"/>
                <w:sz w:val="20"/>
              </w:rPr>
              <w:t>Blasenkrebs</w:t>
            </w:r>
          </w:p>
        </w:tc>
      </w:tr>
      <w:tr w:rsidR="00C85902" w14:paraId="21EFFE65" w14:textId="77777777" w:rsidTr="00FD20D4">
        <w:tc>
          <w:tcPr>
            <w:tcW w:w="2833" w:type="dxa"/>
            <w:shd w:val="clear" w:color="auto" w:fill="E7E6E6" w:themeFill="background2"/>
          </w:tcPr>
          <w:p w14:paraId="5B5DE00A" w14:textId="77777777" w:rsidR="00C85902" w:rsidRPr="00FA06F3" w:rsidRDefault="00C85902" w:rsidP="00FA06F3">
            <w:pPr>
              <w:spacing w:line="240" w:lineRule="auto"/>
              <w:rPr>
                <w:rFonts w:cs="Arial"/>
                <w:b/>
                <w:bCs/>
                <w:color w:val="000000"/>
                <w:sz w:val="20"/>
              </w:rPr>
            </w:pPr>
            <w:r w:rsidRPr="00FA06F3">
              <w:rPr>
                <w:rFonts w:cs="Arial"/>
                <w:b/>
                <w:bCs/>
                <w:color w:val="000000"/>
                <w:sz w:val="20"/>
              </w:rPr>
              <w:t>Geschlecht</w:t>
            </w:r>
          </w:p>
        </w:tc>
        <w:tc>
          <w:tcPr>
            <w:tcW w:w="2836" w:type="dxa"/>
          </w:tcPr>
          <w:p w14:paraId="3B68B7C0" w14:textId="77777777" w:rsidR="00C85902" w:rsidRPr="00FA06F3" w:rsidRDefault="00C85902" w:rsidP="00FA06F3">
            <w:pPr>
              <w:spacing w:line="240" w:lineRule="auto"/>
              <w:rPr>
                <w:rFonts w:cs="Arial"/>
                <w:color w:val="000000"/>
                <w:sz w:val="20"/>
              </w:rPr>
            </w:pPr>
            <w:r w:rsidRPr="00FA06F3">
              <w:rPr>
                <w:rFonts w:cs="Arial"/>
                <w:color w:val="000000"/>
                <w:sz w:val="20"/>
              </w:rPr>
              <w:t>weiblich</w:t>
            </w:r>
          </w:p>
        </w:tc>
        <w:tc>
          <w:tcPr>
            <w:tcW w:w="2825" w:type="dxa"/>
          </w:tcPr>
          <w:p w14:paraId="3B5E0B9B" w14:textId="77777777" w:rsidR="00C85902" w:rsidRPr="00FA06F3" w:rsidRDefault="00C85902" w:rsidP="00FA06F3">
            <w:pPr>
              <w:spacing w:line="240" w:lineRule="auto"/>
              <w:rPr>
                <w:rFonts w:cs="Arial"/>
                <w:color w:val="000000"/>
                <w:sz w:val="20"/>
              </w:rPr>
            </w:pPr>
            <w:r w:rsidRPr="00FA06F3">
              <w:rPr>
                <w:rFonts w:cs="Arial"/>
                <w:color w:val="000000"/>
                <w:sz w:val="20"/>
              </w:rPr>
              <w:t>männlich</w:t>
            </w:r>
          </w:p>
        </w:tc>
      </w:tr>
      <w:tr w:rsidR="00C85902" w14:paraId="48BF3196" w14:textId="77777777" w:rsidTr="00FD20D4">
        <w:tc>
          <w:tcPr>
            <w:tcW w:w="2833" w:type="dxa"/>
            <w:shd w:val="clear" w:color="auto" w:fill="E7E6E6" w:themeFill="background2"/>
          </w:tcPr>
          <w:p w14:paraId="0EFF2E4E" w14:textId="77777777" w:rsidR="00C85902" w:rsidRPr="00FA06F3" w:rsidRDefault="00C85902" w:rsidP="00FA06F3">
            <w:pPr>
              <w:spacing w:line="240" w:lineRule="auto"/>
              <w:rPr>
                <w:rFonts w:cs="Arial"/>
                <w:b/>
                <w:bCs/>
                <w:color w:val="000000"/>
                <w:sz w:val="20"/>
              </w:rPr>
            </w:pPr>
            <w:r w:rsidRPr="00FA06F3">
              <w:rPr>
                <w:rFonts w:cs="Arial"/>
                <w:b/>
                <w:bCs/>
                <w:color w:val="000000"/>
                <w:sz w:val="20"/>
              </w:rPr>
              <w:t>Alter</w:t>
            </w:r>
          </w:p>
        </w:tc>
        <w:tc>
          <w:tcPr>
            <w:tcW w:w="2836" w:type="dxa"/>
          </w:tcPr>
          <w:p w14:paraId="6EA00FFE" w14:textId="77777777" w:rsidR="00C85902" w:rsidRPr="00FA06F3" w:rsidRDefault="00C85902" w:rsidP="00FA06F3">
            <w:pPr>
              <w:spacing w:line="240" w:lineRule="auto"/>
              <w:rPr>
                <w:rFonts w:cs="Arial"/>
                <w:color w:val="000000"/>
                <w:sz w:val="20"/>
              </w:rPr>
            </w:pPr>
            <w:r w:rsidRPr="00FA06F3">
              <w:rPr>
                <w:rFonts w:cs="Arial"/>
                <w:color w:val="000000"/>
                <w:sz w:val="20"/>
              </w:rPr>
              <w:t>64 Jahre</w:t>
            </w:r>
          </w:p>
        </w:tc>
        <w:tc>
          <w:tcPr>
            <w:tcW w:w="2825" w:type="dxa"/>
          </w:tcPr>
          <w:p w14:paraId="0D92832E" w14:textId="77777777" w:rsidR="00C85902" w:rsidRPr="00FA06F3" w:rsidRDefault="00C85902" w:rsidP="00FA06F3">
            <w:pPr>
              <w:keepNext/>
              <w:spacing w:line="240" w:lineRule="auto"/>
              <w:rPr>
                <w:rFonts w:cs="Arial"/>
                <w:color w:val="000000"/>
                <w:sz w:val="20"/>
              </w:rPr>
            </w:pPr>
            <w:r w:rsidRPr="00FA06F3">
              <w:rPr>
                <w:rFonts w:cs="Arial"/>
                <w:color w:val="000000"/>
                <w:sz w:val="20"/>
              </w:rPr>
              <w:t>73 Jahre</w:t>
            </w:r>
          </w:p>
        </w:tc>
      </w:tr>
    </w:tbl>
    <w:p w14:paraId="69DE11F8" w14:textId="77777777" w:rsidR="00C85902" w:rsidRDefault="00C85902" w:rsidP="00582C59">
      <w:pPr>
        <w:pStyle w:val="Beschriftung"/>
        <w:rPr>
          <w:rFonts w:cs="Arial"/>
          <w:color w:val="000000"/>
          <w:szCs w:val="24"/>
        </w:rPr>
      </w:pPr>
    </w:p>
    <w:p w14:paraId="07644611" w14:textId="77777777" w:rsidR="00C85902" w:rsidRDefault="00C85902" w:rsidP="00CB6D33">
      <w:pPr>
        <w:pStyle w:val="berschrift2"/>
      </w:pPr>
      <w:bookmarkStart w:id="37" w:name="_Ref67392591"/>
      <w:bookmarkStart w:id="38" w:name="_Ref67392641"/>
      <w:bookmarkStart w:id="39" w:name="_Ref67392663"/>
      <w:bookmarkStart w:id="40" w:name="_Ref67392739"/>
      <w:bookmarkStart w:id="41" w:name="_Ref67392745"/>
      <w:bookmarkStart w:id="42" w:name="_Toc121158653"/>
      <w:r>
        <w:t>Allgemeine Zellkultur und Proliferationsrate</w:t>
      </w:r>
      <w:bookmarkEnd w:id="37"/>
      <w:bookmarkEnd w:id="38"/>
      <w:bookmarkEnd w:id="39"/>
      <w:bookmarkEnd w:id="40"/>
      <w:bookmarkEnd w:id="41"/>
      <w:bookmarkEnd w:id="42"/>
    </w:p>
    <w:p w14:paraId="2CE0AE07" w14:textId="77777777" w:rsidR="00C85902" w:rsidRDefault="00C85902" w:rsidP="00604AF7">
      <w:r w:rsidRPr="00604AF7">
        <w:t xml:space="preserve">Alle </w:t>
      </w:r>
      <w:r>
        <w:t>Kulturen</w:t>
      </w:r>
      <w:r w:rsidRPr="00604AF7">
        <w:t xml:space="preserve"> wurden in einem CO</w:t>
      </w:r>
      <w:r w:rsidRPr="00604AF7">
        <w:rPr>
          <w:vertAlign w:val="subscript"/>
        </w:rPr>
        <w:t>2</w:t>
      </w:r>
      <w:r w:rsidRPr="00604AF7">
        <w:t>- Inkubator bei 5</w:t>
      </w:r>
      <w:r w:rsidRPr="00604AF7">
        <w:rPr>
          <w:w w:val="50"/>
        </w:rPr>
        <w:t> </w:t>
      </w:r>
      <w:r w:rsidRPr="00604AF7">
        <w:t>% CO</w:t>
      </w:r>
      <w:r w:rsidRPr="00604AF7">
        <w:rPr>
          <w:vertAlign w:val="subscript"/>
        </w:rPr>
        <w:t>2</w:t>
      </w:r>
      <w:r w:rsidRPr="00604AF7">
        <w:t xml:space="preserve"> und 37</w:t>
      </w:r>
      <w:r w:rsidRPr="00604AF7">
        <w:rPr>
          <w:w w:val="50"/>
        </w:rPr>
        <w:t> </w:t>
      </w:r>
      <w:r w:rsidRPr="00604AF7">
        <w:t xml:space="preserve">°C inkubiert und erhielten in </w:t>
      </w:r>
      <w:r>
        <w:t>festgelegten</w:t>
      </w:r>
      <w:r w:rsidRPr="00604AF7">
        <w:t xml:space="preserve"> Abständen einen Wechsel des Mediums sowie eine Passage. </w:t>
      </w:r>
      <w:r>
        <w:rPr>
          <w:rFonts w:cs="Arial"/>
          <w:color w:val="000000"/>
          <w:szCs w:val="24"/>
        </w:rPr>
        <w:t>Es wurde ausnahmslos an der Sterilbank unter partikelfreier Umluft gearbeitet. Um jegliches Kontaminationsrisiko zu vermeiden, wurde darauf geachtet, dass nicht dieselbe Pipette oder derselbe Saugaufsatz für unterschiedliche Kulturen genutzt wurde.</w:t>
      </w:r>
    </w:p>
    <w:p w14:paraId="428110B1" w14:textId="77777777" w:rsidR="00C85902" w:rsidRPr="009B2C19" w:rsidRDefault="00C85902" w:rsidP="00604AF7">
      <w:r w:rsidRPr="00D16B3A">
        <w:rPr>
          <w:b/>
          <w:bCs/>
          <w:u w:val="single"/>
        </w:rPr>
        <w:t>Proliferationsrate</w:t>
      </w:r>
      <w:r>
        <w:t>:</w:t>
      </w:r>
      <w:r>
        <w:br/>
      </w:r>
      <w:r>
        <w:rPr>
          <w:rFonts w:cstheme="majorBidi"/>
        </w:rPr>
        <w:t>Zur Bestimmung der Proliferationsrate wurden Zählkammern genutzt. Die Zellen wurden wie gewohnt für die Passage abgelöst und zentrifugiert. Der Überstand wurde abgenommen und das Pellet bei Zelllinien in 10ml bzw. bei Harnleitern in 1</w:t>
      </w:r>
      <w:r w:rsidRPr="00921B1A">
        <w:rPr>
          <w:w w:val="50"/>
        </w:rPr>
        <w:t> </w:t>
      </w:r>
      <w:r>
        <w:rPr>
          <w:rFonts w:cstheme="majorBidi"/>
        </w:rPr>
        <w:t>ml Medium suspendiert. Anschließend wurden 20</w:t>
      </w:r>
      <w:r w:rsidRPr="008C4356">
        <w:rPr>
          <w:w w:val="50"/>
        </w:rPr>
        <w:t> </w:t>
      </w:r>
      <w:r>
        <w:rPr>
          <w:rFonts w:cs="Arial"/>
        </w:rPr>
        <w:t>µ</w:t>
      </w:r>
      <w:r>
        <w:rPr>
          <w:rFonts w:cstheme="majorBidi"/>
        </w:rPr>
        <w:t>l der Suspension mit einer Pipette abgenommen und mit 20</w:t>
      </w:r>
      <w:r w:rsidRPr="008C4356">
        <w:rPr>
          <w:w w:val="50"/>
        </w:rPr>
        <w:t> </w:t>
      </w:r>
      <w:r>
        <w:rPr>
          <w:rFonts w:cs="Arial"/>
        </w:rPr>
        <w:t>µ</w:t>
      </w:r>
      <w:r>
        <w:rPr>
          <w:rFonts w:cstheme="majorBidi"/>
        </w:rPr>
        <w:t xml:space="preserve">l </w:t>
      </w:r>
      <w:r w:rsidRPr="009269E0">
        <w:rPr>
          <w:rFonts w:cstheme="majorBidi"/>
          <w:color w:val="000000" w:themeColor="text1"/>
        </w:rPr>
        <w:t>Trypan Blue</w:t>
      </w:r>
      <w:r>
        <w:rPr>
          <w:rFonts w:cstheme="majorBidi"/>
          <w:color w:val="000000" w:themeColor="text1"/>
        </w:rPr>
        <w:t xml:space="preserve"> </w:t>
      </w:r>
      <w:r w:rsidRPr="009269E0">
        <w:rPr>
          <w:rFonts w:cstheme="majorBidi"/>
          <w:color w:val="000000" w:themeColor="text1"/>
        </w:rPr>
        <w:t xml:space="preserve">in </w:t>
      </w:r>
      <w:r>
        <w:rPr>
          <w:rFonts w:cstheme="majorBidi"/>
        </w:rPr>
        <w:t xml:space="preserve">einer Kammer einer 96 Well </w:t>
      </w:r>
      <w:r w:rsidRPr="00B64EDC">
        <w:rPr>
          <w:rFonts w:cstheme="majorBidi"/>
        </w:rPr>
        <w:t>Rundbodenplatte</w:t>
      </w:r>
      <w:r w:rsidRPr="00D16B3A">
        <w:rPr>
          <w:rFonts w:cstheme="majorBidi"/>
          <w:color w:val="FF0000"/>
        </w:rPr>
        <w:t xml:space="preserve"> </w:t>
      </w:r>
      <w:r>
        <w:rPr>
          <w:rFonts w:cstheme="majorBidi"/>
        </w:rPr>
        <w:t>durch Auf- und Abpipettieren gut gemischt und schließlich jeweils 20</w:t>
      </w:r>
      <w:r w:rsidRPr="008C4356">
        <w:rPr>
          <w:w w:val="50"/>
        </w:rPr>
        <w:t> </w:t>
      </w:r>
      <w:r>
        <w:rPr>
          <w:rFonts w:cs="Arial"/>
        </w:rPr>
        <w:t>µ</w:t>
      </w:r>
      <w:r>
        <w:rPr>
          <w:rFonts w:cstheme="majorBidi"/>
        </w:rPr>
        <w:t>l in Kammer A und B der Neubauer Zählkämmer gegeben. Anschließend wurden die</w:t>
      </w:r>
      <w:r w:rsidRPr="0044353A">
        <w:rPr>
          <w:rFonts w:cstheme="majorBidi"/>
        </w:rPr>
        <w:t xml:space="preserve"> Z</w:t>
      </w:r>
      <w:r w:rsidRPr="00A72351">
        <w:rPr>
          <w:rFonts w:cstheme="majorBidi"/>
        </w:rPr>
        <w:t>ellen</w:t>
      </w:r>
      <w:r>
        <w:rPr>
          <w:rFonts w:cstheme="majorBidi"/>
        </w:rPr>
        <w:t xml:space="preserve"> unter dem Mikroskop gezählt und der Mittelwert aus beiden Kammern für die Berechnung der nächsten Aussaht genutzt </w:t>
      </w:r>
    </w:p>
    <w:p w14:paraId="6C6A4172" w14:textId="77777777" w:rsidR="00C85902" w:rsidRPr="00240C21" w:rsidRDefault="00C85902" w:rsidP="00604AF7">
      <w:pPr>
        <w:rPr>
          <w:rFonts w:cstheme="majorBidi"/>
          <w:b/>
          <w:bCs/>
          <w:u w:val="single"/>
        </w:rPr>
      </w:pPr>
      <w:r w:rsidRPr="00240C21">
        <w:rPr>
          <w:rFonts w:cstheme="majorBidi"/>
          <w:b/>
          <w:bCs/>
          <w:u w:val="single"/>
        </w:rPr>
        <w:t>Formel für die Aussaht von 5x 10</w:t>
      </w:r>
      <w:r w:rsidRPr="00240C21">
        <w:rPr>
          <w:rFonts w:cstheme="majorBidi"/>
          <w:b/>
          <w:bCs/>
          <w:u w:val="single"/>
          <w:vertAlign w:val="superscript"/>
        </w:rPr>
        <w:t>5</w:t>
      </w:r>
      <w:r w:rsidRPr="00240C21">
        <w:rPr>
          <w:rFonts w:cstheme="majorBidi"/>
          <w:b/>
          <w:bCs/>
          <w:u w:val="single"/>
        </w:rPr>
        <w:t xml:space="preserve"> Zellen:</w:t>
      </w:r>
    </w:p>
    <w:p w14:paraId="435DA8E0" w14:textId="77777777" w:rsidR="00C85902" w:rsidRPr="007C0ECC" w:rsidRDefault="00000000" w:rsidP="00604AF7">
      <w:pPr>
        <w:rPr>
          <w:rFonts w:eastAsiaTheme="minorEastAsia" w:cstheme="majorBidi"/>
          <w:sz w:val="20"/>
          <w:szCs w:val="18"/>
        </w:rPr>
      </w:pPr>
      <m:oMathPara>
        <m:oMath>
          <m:f>
            <m:fPr>
              <m:ctrlPr>
                <w:rPr>
                  <w:rFonts w:ascii="Cambria Math" w:hAnsi="Cambria Math" w:cstheme="majorBidi"/>
                  <w:i/>
                  <w:sz w:val="20"/>
                  <w:szCs w:val="18"/>
                </w:rPr>
              </m:ctrlPr>
            </m:fPr>
            <m:num>
              <m:d>
                <m:dPr>
                  <m:begChr m:val="["/>
                  <m:endChr m:val="]"/>
                  <m:ctrlPr>
                    <w:rPr>
                      <w:rFonts w:ascii="Cambria Math" w:hAnsi="Cambria Math" w:cstheme="majorBidi"/>
                      <w:i/>
                      <w:sz w:val="20"/>
                      <w:szCs w:val="18"/>
                    </w:rPr>
                  </m:ctrlPr>
                </m:dPr>
                <m:e>
                  <m:f>
                    <m:fPr>
                      <m:ctrlPr>
                        <w:rPr>
                          <w:rFonts w:ascii="Cambria Math" w:hAnsi="Cambria Math" w:cstheme="majorBidi"/>
                          <w:i/>
                          <w:sz w:val="20"/>
                          <w:szCs w:val="18"/>
                        </w:rPr>
                      </m:ctrlPr>
                    </m:fPr>
                    <m:num>
                      <m:r>
                        <w:rPr>
                          <w:rFonts w:ascii="Cambria Math" w:hAnsi="Cambria Math" w:cstheme="majorBidi"/>
                          <w:sz w:val="20"/>
                          <w:szCs w:val="18"/>
                        </w:rPr>
                        <m:t>(A+B)</m:t>
                      </m:r>
                    </m:num>
                    <m:den>
                      <m:r>
                        <w:rPr>
                          <w:rFonts w:ascii="Cambria Math" w:hAnsi="Cambria Math" w:cstheme="majorBidi"/>
                          <w:sz w:val="20"/>
                          <w:szCs w:val="18"/>
                        </w:rPr>
                        <m:t>2</m:t>
                      </m:r>
                    </m:den>
                  </m:f>
                </m:e>
              </m:d>
            </m:num>
            <m:den>
              <m:r>
                <w:rPr>
                  <w:rFonts w:ascii="Cambria Math" w:hAnsi="Cambria Math" w:cstheme="majorBidi"/>
                  <w:sz w:val="20"/>
                  <w:szCs w:val="18"/>
                </w:rPr>
                <m:t>2</m:t>
              </m:r>
            </m:den>
          </m:f>
          <m:r>
            <w:rPr>
              <w:rFonts w:ascii="Cambria Math" w:hAnsi="Cambria Math" w:cstheme="majorBidi"/>
              <w:sz w:val="20"/>
              <w:szCs w:val="18"/>
            </w:rPr>
            <m:t>=x ×</m:t>
          </m:r>
          <m:sSup>
            <m:sSupPr>
              <m:ctrlPr>
                <w:rPr>
                  <w:rFonts w:ascii="Cambria Math" w:hAnsi="Cambria Math" w:cstheme="majorBidi"/>
                  <w:i/>
                  <w:sz w:val="20"/>
                  <w:szCs w:val="18"/>
                </w:rPr>
              </m:ctrlPr>
            </m:sSupPr>
            <m:e>
              <m:r>
                <w:rPr>
                  <w:rFonts w:ascii="Cambria Math" w:hAnsi="Cambria Math" w:cstheme="majorBidi"/>
                  <w:sz w:val="20"/>
                  <w:szCs w:val="18"/>
                </w:rPr>
                <m:t>10</m:t>
              </m:r>
            </m:e>
            <m:sup>
              <m:r>
                <w:rPr>
                  <w:rFonts w:ascii="Cambria Math" w:hAnsi="Cambria Math" w:cstheme="majorBidi"/>
                  <w:sz w:val="20"/>
                  <w:szCs w:val="18"/>
                </w:rPr>
                <m:t>4</m:t>
              </m:r>
            </m:sup>
          </m:sSup>
          <m:r>
            <w:rPr>
              <w:rFonts w:ascii="Cambria Math" w:hAnsi="Cambria Math" w:cstheme="majorBidi"/>
              <w:sz w:val="20"/>
              <w:szCs w:val="18"/>
            </w:rPr>
            <m:t xml:space="preserve"> Zellen pro ml=</m:t>
          </m:r>
          <m:d>
            <m:dPr>
              <m:ctrlPr>
                <w:rPr>
                  <w:rFonts w:ascii="Cambria Math" w:hAnsi="Cambria Math" w:cstheme="majorBidi"/>
                  <w:i/>
                  <w:sz w:val="20"/>
                  <w:szCs w:val="18"/>
                </w:rPr>
              </m:ctrlPr>
            </m:dPr>
            <m:e>
              <m:r>
                <w:rPr>
                  <w:rFonts w:ascii="Cambria Math" w:hAnsi="Cambria Math" w:cstheme="majorBidi"/>
                  <w:sz w:val="20"/>
                  <w:szCs w:val="18"/>
                </w:rPr>
                <m:t>0,1×x</m:t>
              </m:r>
            </m:e>
          </m:d>
          <m:r>
            <w:rPr>
              <w:rFonts w:ascii="Cambria Math" w:hAnsi="Cambria Math" w:cstheme="majorBidi"/>
              <w:sz w:val="20"/>
              <w:szCs w:val="18"/>
            </w:rPr>
            <m:t xml:space="preserve">× </m:t>
          </m:r>
          <m:sSup>
            <m:sSupPr>
              <m:ctrlPr>
                <w:rPr>
                  <w:rFonts w:ascii="Cambria Math" w:hAnsi="Cambria Math" w:cstheme="majorBidi"/>
                  <w:i/>
                  <w:sz w:val="20"/>
                  <w:szCs w:val="18"/>
                </w:rPr>
              </m:ctrlPr>
            </m:sSupPr>
            <m:e>
              <m:r>
                <w:rPr>
                  <w:rFonts w:ascii="Cambria Math" w:hAnsi="Cambria Math" w:cstheme="majorBidi"/>
                  <w:sz w:val="20"/>
                  <w:szCs w:val="18"/>
                </w:rPr>
                <m:t>10</m:t>
              </m:r>
            </m:e>
            <m:sup>
              <m:r>
                <w:rPr>
                  <w:rFonts w:ascii="Cambria Math" w:hAnsi="Cambria Math" w:cstheme="majorBidi"/>
                  <w:sz w:val="20"/>
                  <w:szCs w:val="18"/>
                </w:rPr>
                <m:t>5</m:t>
              </m:r>
            </m:sup>
          </m:sSup>
          <m:r>
            <w:rPr>
              <w:rFonts w:ascii="Cambria Math" w:hAnsi="Cambria Math" w:cstheme="majorBidi"/>
              <w:sz w:val="20"/>
              <w:szCs w:val="18"/>
            </w:rPr>
            <m:t>Zellen pro ml=x×</m:t>
          </m:r>
          <m:sSup>
            <m:sSupPr>
              <m:ctrlPr>
                <w:rPr>
                  <w:rFonts w:ascii="Cambria Math" w:hAnsi="Cambria Math" w:cstheme="majorBidi"/>
                  <w:i/>
                  <w:sz w:val="20"/>
                  <w:szCs w:val="18"/>
                </w:rPr>
              </m:ctrlPr>
            </m:sSupPr>
            <m:e>
              <m:r>
                <w:rPr>
                  <w:rFonts w:ascii="Cambria Math" w:hAnsi="Cambria Math" w:cstheme="majorBidi"/>
                  <w:sz w:val="20"/>
                  <w:szCs w:val="18"/>
                </w:rPr>
                <m:t>10</m:t>
              </m:r>
            </m:e>
            <m:sup>
              <m:r>
                <w:rPr>
                  <w:rFonts w:ascii="Cambria Math" w:hAnsi="Cambria Math" w:cstheme="majorBidi"/>
                  <w:sz w:val="20"/>
                  <w:szCs w:val="18"/>
                </w:rPr>
                <m:t>5</m:t>
              </m:r>
            </m:sup>
          </m:sSup>
          <m:r>
            <w:rPr>
              <w:rFonts w:ascii="Cambria Math" w:hAnsi="Cambria Math" w:cstheme="majorBidi"/>
              <w:sz w:val="20"/>
              <w:szCs w:val="18"/>
            </w:rPr>
            <m:t xml:space="preserve"> pro 10</m:t>
          </m:r>
          <m:r>
            <m:rPr>
              <m:sty m:val="p"/>
            </m:rPr>
            <w:rPr>
              <w:rFonts w:ascii="Cambria Math" w:hAnsi="Cambria Math"/>
              <w:w w:val="50"/>
              <w:sz w:val="20"/>
              <w:szCs w:val="18"/>
            </w:rPr>
            <m:t> </m:t>
          </m:r>
          <m:r>
            <w:rPr>
              <w:rFonts w:ascii="Cambria Math" w:hAnsi="Cambria Math" w:cstheme="majorBidi"/>
              <w:sz w:val="20"/>
              <w:szCs w:val="18"/>
            </w:rPr>
            <m:t xml:space="preserve">ml </m:t>
          </m:r>
        </m:oMath>
      </m:oMathPara>
    </w:p>
    <w:p w14:paraId="7B2479F4" w14:textId="77777777" w:rsidR="00C85902" w:rsidRPr="007C0ECC" w:rsidRDefault="00C85902" w:rsidP="00604AF7">
      <w:pPr>
        <w:rPr>
          <w:rFonts w:eastAsiaTheme="minorEastAsia" w:cstheme="majorBidi"/>
          <w:sz w:val="20"/>
          <w:szCs w:val="18"/>
        </w:rPr>
      </w:pPr>
      <w:r w:rsidRPr="007C0ECC">
        <w:rPr>
          <w:rFonts w:eastAsiaTheme="minorEastAsia" w:cstheme="majorBidi"/>
          <w:sz w:val="20"/>
          <w:szCs w:val="18"/>
        </w:rPr>
        <w:t xml:space="preserve">A= Anzahl der lebendigen Zellen in Quadranten A </w:t>
      </w:r>
    </w:p>
    <w:p w14:paraId="41678B03" w14:textId="77777777" w:rsidR="00C85902" w:rsidRPr="007C0ECC" w:rsidRDefault="00C85902" w:rsidP="009F08B7">
      <w:pPr>
        <w:rPr>
          <w:rFonts w:eastAsiaTheme="minorEastAsia" w:cstheme="majorBidi"/>
          <w:sz w:val="20"/>
          <w:szCs w:val="18"/>
        </w:rPr>
      </w:pPr>
      <w:r w:rsidRPr="007C0ECC">
        <w:rPr>
          <w:rFonts w:eastAsiaTheme="minorEastAsia" w:cstheme="majorBidi"/>
          <w:sz w:val="20"/>
          <w:szCs w:val="18"/>
        </w:rPr>
        <w:t xml:space="preserve">B= Anzahl der lebendigen Zellen in Quadranten B </w:t>
      </w:r>
    </w:p>
    <w:p w14:paraId="3C4CD838" w14:textId="77777777" w:rsidR="00C85902" w:rsidRPr="007C0ECC" w:rsidRDefault="00C85902" w:rsidP="009F08B7">
      <w:pPr>
        <w:jc w:val="center"/>
        <w:rPr>
          <w:rFonts w:eastAsiaTheme="minorEastAsia" w:cstheme="majorBidi"/>
          <w:sz w:val="20"/>
          <w:szCs w:val="18"/>
        </w:rPr>
      </w:pPr>
      <m:oMathPara>
        <m:oMath>
          <m:r>
            <w:rPr>
              <w:rFonts w:ascii="Cambria Math" w:hAnsi="Cambria Math" w:cstheme="majorBidi"/>
              <w:sz w:val="20"/>
              <w:szCs w:val="18"/>
            </w:rPr>
            <m:t>10000÷</m:t>
          </m:r>
          <m:d>
            <m:dPr>
              <m:ctrlPr>
                <w:rPr>
                  <w:rFonts w:ascii="Cambria Math" w:hAnsi="Cambria Math" w:cstheme="majorBidi"/>
                  <w:i/>
                  <w:sz w:val="20"/>
                  <w:szCs w:val="18"/>
                </w:rPr>
              </m:ctrlPr>
            </m:dPr>
            <m:e>
              <m:f>
                <m:fPr>
                  <m:ctrlPr>
                    <w:rPr>
                      <w:rFonts w:ascii="Cambria Math" w:hAnsi="Cambria Math" w:cstheme="majorBidi"/>
                      <w:i/>
                      <w:sz w:val="20"/>
                      <w:szCs w:val="18"/>
                    </w:rPr>
                  </m:ctrlPr>
                </m:fPr>
                <m:num>
                  <m:r>
                    <w:rPr>
                      <w:rFonts w:ascii="Cambria Math" w:hAnsi="Cambria Math" w:cstheme="majorBidi"/>
                      <w:sz w:val="20"/>
                      <w:szCs w:val="18"/>
                    </w:rPr>
                    <m:t>x×</m:t>
                  </m:r>
                  <m:sSup>
                    <m:sSupPr>
                      <m:ctrlPr>
                        <w:rPr>
                          <w:rFonts w:ascii="Cambria Math" w:hAnsi="Cambria Math" w:cstheme="majorBidi"/>
                          <w:i/>
                          <w:sz w:val="20"/>
                          <w:szCs w:val="18"/>
                        </w:rPr>
                      </m:ctrlPr>
                    </m:sSupPr>
                    <m:e>
                      <m:r>
                        <w:rPr>
                          <w:rFonts w:ascii="Cambria Math" w:hAnsi="Cambria Math" w:cstheme="majorBidi"/>
                          <w:sz w:val="20"/>
                          <w:szCs w:val="18"/>
                        </w:rPr>
                        <m:t>10</m:t>
                      </m:r>
                    </m:e>
                    <m:sup>
                      <m:r>
                        <w:rPr>
                          <w:rFonts w:ascii="Cambria Math" w:hAnsi="Cambria Math" w:cstheme="majorBidi"/>
                          <w:sz w:val="20"/>
                          <w:szCs w:val="18"/>
                        </w:rPr>
                        <m:t>5</m:t>
                      </m:r>
                    </m:sup>
                  </m:sSup>
                  <m:r>
                    <w:rPr>
                      <w:rFonts w:ascii="Cambria Math" w:hAnsi="Cambria Math" w:cstheme="majorBidi"/>
                      <w:sz w:val="20"/>
                      <w:szCs w:val="18"/>
                    </w:rPr>
                    <m:t xml:space="preserve">Zellen </m:t>
                  </m:r>
                </m:num>
                <m:den>
                  <m:r>
                    <w:rPr>
                      <w:rFonts w:ascii="Cambria Math" w:hAnsi="Cambria Math" w:cstheme="majorBidi"/>
                      <w:sz w:val="20"/>
                      <w:szCs w:val="18"/>
                    </w:rPr>
                    <m:t>5×</m:t>
                  </m:r>
                  <m:sSup>
                    <m:sSupPr>
                      <m:ctrlPr>
                        <w:rPr>
                          <w:rFonts w:ascii="Cambria Math" w:hAnsi="Cambria Math" w:cstheme="majorBidi"/>
                          <w:i/>
                          <w:sz w:val="20"/>
                          <w:szCs w:val="18"/>
                        </w:rPr>
                      </m:ctrlPr>
                    </m:sSupPr>
                    <m:e>
                      <m:r>
                        <w:rPr>
                          <w:rFonts w:ascii="Cambria Math" w:hAnsi="Cambria Math" w:cstheme="majorBidi"/>
                          <w:sz w:val="20"/>
                          <w:szCs w:val="18"/>
                        </w:rPr>
                        <m:t>10</m:t>
                      </m:r>
                    </m:e>
                    <m:sup>
                      <m:r>
                        <w:rPr>
                          <w:rFonts w:ascii="Cambria Math" w:hAnsi="Cambria Math" w:cstheme="majorBidi"/>
                          <w:sz w:val="20"/>
                          <w:szCs w:val="18"/>
                        </w:rPr>
                        <m:t>5</m:t>
                      </m:r>
                    </m:sup>
                  </m:sSup>
                  <m:r>
                    <w:rPr>
                      <w:rFonts w:ascii="Cambria Math" w:hAnsi="Cambria Math" w:cstheme="majorBidi"/>
                      <w:sz w:val="20"/>
                      <w:szCs w:val="18"/>
                    </w:rPr>
                    <m:t>Zellen</m:t>
                  </m:r>
                </m:den>
              </m:f>
            </m:e>
          </m:d>
          <m:r>
            <w:rPr>
              <w:rFonts w:ascii="Cambria Math" w:hAnsi="Cambria Math" w:cstheme="majorBidi"/>
              <w:sz w:val="20"/>
              <w:szCs w:val="18"/>
            </w:rPr>
            <m:t>=y</m:t>
          </m:r>
          <m:r>
            <m:rPr>
              <m:sty m:val="p"/>
            </m:rPr>
            <w:rPr>
              <w:rFonts w:ascii="Cambria Math" w:hAnsi="Cambria Math"/>
              <w:w w:val="50"/>
              <w:sz w:val="20"/>
              <w:szCs w:val="18"/>
            </w:rPr>
            <m:t> </m:t>
          </m:r>
          <m:r>
            <w:rPr>
              <w:rFonts w:ascii="Cambria Math" w:hAnsi="Cambria Math" w:cstheme="majorBidi"/>
              <w:sz w:val="20"/>
              <w:szCs w:val="18"/>
            </w:rPr>
            <m:t>µl Zellsuspension</m:t>
          </m:r>
        </m:oMath>
      </m:oMathPara>
    </w:p>
    <w:p w14:paraId="6B0FA5EC" w14:textId="77777777" w:rsidR="00C85902" w:rsidRPr="007C0ECC" w:rsidRDefault="00C85902" w:rsidP="009F08B7">
      <w:pPr>
        <w:jc w:val="center"/>
        <w:rPr>
          <w:rFonts w:eastAsiaTheme="minorEastAsia" w:cstheme="majorBidi"/>
          <w:sz w:val="20"/>
          <w:szCs w:val="18"/>
        </w:rPr>
      </w:pPr>
      <m:oMathPara>
        <m:oMathParaPr>
          <m:jc m:val="center"/>
        </m:oMathParaPr>
        <m:oMath>
          <m:r>
            <w:rPr>
              <w:rFonts w:ascii="Cambria Math" w:eastAsiaTheme="minorEastAsia" w:hAnsi="Cambria Math" w:cstheme="majorBidi"/>
              <w:sz w:val="20"/>
              <w:szCs w:val="18"/>
            </w:rPr>
            <m:t>10000-y=z</m:t>
          </m:r>
          <m:r>
            <m:rPr>
              <m:sty m:val="p"/>
            </m:rPr>
            <w:rPr>
              <w:rFonts w:ascii="Cambria Math" w:hAnsi="Cambria Math"/>
              <w:w w:val="50"/>
              <w:sz w:val="20"/>
              <w:szCs w:val="18"/>
            </w:rPr>
            <m:t> </m:t>
          </m:r>
          <m:r>
            <w:rPr>
              <w:rFonts w:ascii="Cambria Math" w:eastAsiaTheme="minorEastAsia" w:hAnsi="Cambria Math" w:cstheme="majorBidi"/>
              <w:sz w:val="20"/>
              <w:szCs w:val="18"/>
            </w:rPr>
            <m:t>µl Medium</m:t>
          </m:r>
        </m:oMath>
      </m:oMathPara>
    </w:p>
    <w:p w14:paraId="525D36CF" w14:textId="77777777" w:rsidR="00C85902" w:rsidRDefault="00C85902" w:rsidP="00604AF7">
      <w:pPr>
        <w:pStyle w:val="berschrift3"/>
      </w:pPr>
      <w:bookmarkStart w:id="43" w:name="_Ref67390509"/>
      <w:bookmarkStart w:id="44" w:name="_Ref67413691"/>
      <w:bookmarkStart w:id="45" w:name="_Ref67413697"/>
      <w:bookmarkStart w:id="46" w:name="_Ref67413742"/>
      <w:bookmarkStart w:id="47" w:name="_Ref67413748"/>
      <w:bookmarkStart w:id="48" w:name="_Toc121158654"/>
      <w:r>
        <w:t>Zellkultur und Passage der Zelllinien (Cal29, T24 und HT1197)</w:t>
      </w:r>
      <w:bookmarkEnd w:id="43"/>
      <w:bookmarkEnd w:id="44"/>
      <w:bookmarkEnd w:id="45"/>
      <w:bookmarkEnd w:id="46"/>
      <w:bookmarkEnd w:id="47"/>
      <w:bookmarkEnd w:id="48"/>
    </w:p>
    <w:p w14:paraId="5D0C8893" w14:textId="77777777" w:rsidR="00C85902" w:rsidRDefault="00C85902" w:rsidP="005D4457">
      <w:pPr>
        <w:rPr>
          <w:rFonts w:cs="Arial"/>
          <w:color w:val="000000"/>
          <w:szCs w:val="24"/>
        </w:rPr>
      </w:pPr>
      <w:r>
        <w:rPr>
          <w:rFonts w:cs="Arial"/>
          <w:color w:val="000000"/>
          <w:szCs w:val="24"/>
        </w:rPr>
        <w:t>Die etablierten Zelllinien wurden in T</w:t>
      </w:r>
      <w:r w:rsidRPr="008067BC">
        <w:rPr>
          <w:w w:val="50"/>
        </w:rPr>
        <w:t> </w:t>
      </w:r>
      <w:r>
        <w:rPr>
          <w:rFonts w:cs="Arial"/>
          <w:color w:val="000000"/>
          <w:szCs w:val="24"/>
        </w:rPr>
        <w:t>75 Zellkulturflaschen gehalten. Alle drei Tage wurde das alte Medium abgesaugt und durch 10</w:t>
      </w:r>
      <w:r w:rsidRPr="00921B1A">
        <w:rPr>
          <w:w w:val="50"/>
        </w:rPr>
        <w:t> </w:t>
      </w:r>
      <w:r>
        <w:rPr>
          <w:rFonts w:cs="Arial"/>
          <w:color w:val="000000"/>
          <w:szCs w:val="24"/>
        </w:rPr>
        <w:t>ml frisches Medium, welches zuvor im Wasserbad auf 37</w:t>
      </w:r>
      <w:r w:rsidRPr="00921B1A">
        <w:rPr>
          <w:w w:val="50"/>
        </w:rPr>
        <w:t> </w:t>
      </w:r>
      <w:r>
        <w:rPr>
          <w:rFonts w:cs="Arial"/>
          <w:color w:val="000000"/>
          <w:szCs w:val="24"/>
        </w:rPr>
        <w:t xml:space="preserve">°C erwärmt wurde, ersetzt. </w:t>
      </w:r>
    </w:p>
    <w:p w14:paraId="44E06663" w14:textId="4414D26C" w:rsidR="00C85902" w:rsidRDefault="00C85902" w:rsidP="005D4457">
      <w:pPr>
        <w:rPr>
          <w:rFonts w:cs="Arial"/>
          <w:color w:val="000000"/>
          <w:szCs w:val="24"/>
        </w:rPr>
      </w:pPr>
      <w:r>
        <w:rPr>
          <w:rFonts w:cs="Arial"/>
          <w:color w:val="000000"/>
          <w:szCs w:val="24"/>
        </w:rPr>
        <w:t>Für die Passage wurde zunächst das alte Medium mit dem Sauger entfernt. Anschließend wurde in jede Flasche 7</w:t>
      </w:r>
      <w:r w:rsidRPr="00921B1A">
        <w:rPr>
          <w:w w:val="50"/>
        </w:rPr>
        <w:t> </w:t>
      </w:r>
      <w:r>
        <w:rPr>
          <w:rFonts w:cs="Arial"/>
          <w:color w:val="000000"/>
          <w:szCs w:val="24"/>
        </w:rPr>
        <w:t xml:space="preserve">ml PBS (siehe </w:t>
      </w:r>
      <w:r>
        <w:rPr>
          <w:rFonts w:cs="Arial"/>
          <w:color w:val="000000"/>
          <w:szCs w:val="24"/>
        </w:rPr>
        <w:fldChar w:fldCharType="begin"/>
      </w:r>
      <w:r>
        <w:rPr>
          <w:rFonts w:cs="Arial"/>
          <w:color w:val="000000"/>
          <w:szCs w:val="24"/>
        </w:rPr>
        <w:instrText xml:space="preserve"> REF _Ref100332461 \h </w:instrText>
      </w:r>
      <w:r>
        <w:rPr>
          <w:rFonts w:cs="Arial"/>
          <w:color w:val="000000"/>
          <w:szCs w:val="24"/>
        </w:rPr>
      </w:r>
      <w:r>
        <w:rPr>
          <w:rFonts w:cs="Arial"/>
          <w:color w:val="000000"/>
          <w:szCs w:val="24"/>
        </w:rPr>
        <w:fldChar w:fldCharType="separate"/>
      </w:r>
      <w:r w:rsidR="00791554">
        <w:t xml:space="preserve">Tabelle </w:t>
      </w:r>
      <w:r w:rsidR="00791554">
        <w:rPr>
          <w:noProof/>
        </w:rPr>
        <w:t>7</w:t>
      </w:r>
      <w:r>
        <w:rPr>
          <w:rFonts w:cs="Arial"/>
          <w:color w:val="000000"/>
          <w:szCs w:val="24"/>
        </w:rPr>
        <w:fldChar w:fldCharType="end"/>
      </w:r>
      <w:r>
        <w:rPr>
          <w:rFonts w:cs="Arial"/>
          <w:color w:val="000000"/>
          <w:szCs w:val="24"/>
        </w:rPr>
        <w:t>) hinzugeben und die Flasche geschwenkt, um das Serum (FRS) zu entfernen. Danach wurde auch PBS wieder abgesaugt, um im nächsten Schritt 3</w:t>
      </w:r>
      <w:r w:rsidRPr="00921B1A">
        <w:rPr>
          <w:w w:val="50"/>
        </w:rPr>
        <w:t> </w:t>
      </w:r>
      <w:r>
        <w:rPr>
          <w:rFonts w:cs="Arial"/>
          <w:color w:val="000000"/>
          <w:szCs w:val="24"/>
        </w:rPr>
        <w:t>ml Trypsin-EDTA hinzuzugeben. Die Kulturflaschen wurden nun in den Inkubator gestellt und nach 5</w:t>
      </w:r>
      <w:r w:rsidRPr="00921B1A">
        <w:rPr>
          <w:w w:val="50"/>
        </w:rPr>
        <w:t> </w:t>
      </w:r>
      <w:r>
        <w:rPr>
          <w:rFonts w:cs="Arial"/>
          <w:color w:val="000000"/>
          <w:szCs w:val="24"/>
        </w:rPr>
        <w:t>Minuten wurden die Flaschen seitlich beklopft, um danach unter mikroskopischer Kontrolle festzustellen, ob sich die Zellen gelöst haben. Nachdem sich alle Zellen gelöst hatten, wurden zunächst mit einer Pipette 3</w:t>
      </w:r>
      <w:r w:rsidRPr="00921B1A">
        <w:rPr>
          <w:w w:val="50"/>
        </w:rPr>
        <w:t> </w:t>
      </w:r>
      <w:r>
        <w:rPr>
          <w:rFonts w:cs="Arial"/>
          <w:color w:val="000000"/>
          <w:szCs w:val="24"/>
        </w:rPr>
        <w:t>ml Zelllinienmedium hinzugeben, um die Wirkung von Trypsin abzustoppen. Danach wurden die nun insgesamt 6</w:t>
      </w:r>
      <w:r w:rsidRPr="00921B1A">
        <w:rPr>
          <w:w w:val="50"/>
        </w:rPr>
        <w:t> </w:t>
      </w:r>
      <w:r>
        <w:rPr>
          <w:rFonts w:cs="Arial"/>
          <w:color w:val="000000"/>
          <w:szCs w:val="24"/>
        </w:rPr>
        <w:t>ml Flüssigkeit mehrfach am Flaschenboden entlang gespült, um noch verbleibende Zellen abzulösen und in der Suspension aufzunehmen. Anschließend wurden die Zellsuspension in ein 50</w:t>
      </w:r>
      <w:r w:rsidRPr="00921B1A">
        <w:rPr>
          <w:w w:val="50"/>
        </w:rPr>
        <w:t> </w:t>
      </w:r>
      <w:r>
        <w:rPr>
          <w:rFonts w:cs="Arial"/>
          <w:color w:val="000000"/>
          <w:szCs w:val="24"/>
        </w:rPr>
        <w:t>ml Zentrifugationsröhrchen überführt. Danach wurde der Boden der Flasche ein weiteres Mal mit einer Pipette und 10</w:t>
      </w:r>
      <w:r w:rsidRPr="00921B1A">
        <w:rPr>
          <w:w w:val="50"/>
        </w:rPr>
        <w:t> </w:t>
      </w:r>
      <w:r>
        <w:rPr>
          <w:rFonts w:cs="Arial"/>
          <w:color w:val="000000"/>
          <w:szCs w:val="24"/>
        </w:rPr>
        <w:t>ml Zelllinienmedium mehrfach abgespült und auch diese 10</w:t>
      </w:r>
      <w:r w:rsidRPr="00921B1A">
        <w:rPr>
          <w:w w:val="50"/>
        </w:rPr>
        <w:t> </w:t>
      </w:r>
      <w:r>
        <w:rPr>
          <w:rFonts w:cs="Arial"/>
          <w:color w:val="000000"/>
          <w:szCs w:val="24"/>
        </w:rPr>
        <w:t>ml wurden in den 50</w:t>
      </w:r>
      <w:r w:rsidRPr="00921B1A">
        <w:rPr>
          <w:w w:val="50"/>
        </w:rPr>
        <w:t> </w:t>
      </w:r>
      <w:r>
        <w:rPr>
          <w:rFonts w:cs="Arial"/>
          <w:color w:val="000000"/>
          <w:szCs w:val="24"/>
        </w:rPr>
        <w:t xml:space="preserve">ml Zentrifugationsröhrchen übertragen. </w:t>
      </w:r>
    </w:p>
    <w:p w14:paraId="6FC4CEE3" w14:textId="256EC7C2" w:rsidR="00C85902" w:rsidRPr="005D4457" w:rsidRDefault="00C85902" w:rsidP="00B64EDC">
      <w:pPr>
        <w:rPr>
          <w:rFonts w:cs="Arial"/>
          <w:color w:val="000000" w:themeColor="text1"/>
          <w:szCs w:val="24"/>
        </w:rPr>
      </w:pPr>
      <w:r>
        <w:rPr>
          <w:rFonts w:cs="Arial"/>
          <w:color w:val="000000"/>
          <w:szCs w:val="24"/>
        </w:rPr>
        <w:t xml:space="preserve">Das Zentrifugationsröhrchen wurde anschließend in einer austarierten </w:t>
      </w:r>
      <w:r w:rsidRPr="002F0841">
        <w:rPr>
          <w:rFonts w:cs="Arial"/>
          <w:szCs w:val="24"/>
        </w:rPr>
        <w:t xml:space="preserve">Zentrifuge für 7 Minuten bei 1500rpm </w:t>
      </w:r>
      <w:r>
        <w:rPr>
          <w:rFonts w:cs="Arial"/>
          <w:color w:val="000000" w:themeColor="text1"/>
          <w:szCs w:val="24"/>
        </w:rPr>
        <w:t>zentrifugiert, sodass sich ein deutliches Zellpellet bildete und der Überstand vorsichtig abgesaugt werden konnte, bevor das Pellet in 10</w:t>
      </w:r>
      <w:r w:rsidRPr="00921B1A">
        <w:rPr>
          <w:w w:val="50"/>
        </w:rPr>
        <w:t> </w:t>
      </w:r>
      <w:r>
        <w:rPr>
          <w:rFonts w:cs="Arial"/>
          <w:color w:val="000000" w:themeColor="text1"/>
          <w:szCs w:val="24"/>
        </w:rPr>
        <w:t xml:space="preserve">ml Zelllinienmedium, durch mehrfaches Auf- und Abpipettieren, wieder aufgelöst werden konnte. Im nächsten Schritt wurden die Zellen in Zählkammern gezählt (siehe </w:t>
      </w:r>
      <w:r>
        <w:rPr>
          <w:rFonts w:cs="Arial"/>
          <w:color w:val="000000" w:themeColor="text1"/>
          <w:szCs w:val="24"/>
        </w:rPr>
        <w:fldChar w:fldCharType="begin"/>
      </w:r>
      <w:r>
        <w:rPr>
          <w:rFonts w:cs="Arial"/>
          <w:color w:val="000000" w:themeColor="text1"/>
          <w:szCs w:val="24"/>
        </w:rPr>
        <w:instrText xml:space="preserve"> REF _Ref67392591 \r \h </w:instrText>
      </w:r>
      <w:r>
        <w:rPr>
          <w:rFonts w:cs="Arial"/>
          <w:color w:val="000000" w:themeColor="text1"/>
          <w:szCs w:val="24"/>
        </w:rPr>
      </w:r>
      <w:r>
        <w:rPr>
          <w:rFonts w:cs="Arial"/>
          <w:color w:val="000000" w:themeColor="text1"/>
          <w:szCs w:val="24"/>
        </w:rPr>
        <w:fldChar w:fldCharType="separate"/>
      </w:r>
      <w:r w:rsidR="00791554">
        <w:rPr>
          <w:rFonts w:cs="Arial"/>
          <w:color w:val="000000" w:themeColor="text1"/>
          <w:szCs w:val="24"/>
        </w:rPr>
        <w:t>2.3</w:t>
      </w:r>
      <w:r>
        <w:rPr>
          <w:rFonts w:cs="Arial"/>
          <w:color w:val="000000" w:themeColor="text1"/>
          <w:szCs w:val="24"/>
        </w:rPr>
        <w:fldChar w:fldCharType="end"/>
      </w:r>
      <w:r>
        <w:rPr>
          <w:rFonts w:cs="Arial"/>
          <w:color w:val="000000" w:themeColor="text1"/>
          <w:szCs w:val="24"/>
        </w:rPr>
        <w:t>) und mittels Eppendorf Pipette wurden 5*10</w:t>
      </w:r>
      <w:r>
        <w:rPr>
          <w:rFonts w:cs="Arial"/>
          <w:color w:val="000000" w:themeColor="text1"/>
          <w:szCs w:val="24"/>
          <w:vertAlign w:val="superscript"/>
        </w:rPr>
        <w:t>5</w:t>
      </w:r>
      <w:r>
        <w:rPr>
          <w:rFonts w:cs="Arial"/>
          <w:color w:val="000000" w:themeColor="text1"/>
          <w:szCs w:val="24"/>
        </w:rPr>
        <w:t xml:space="preserve"> Zellen (bzw. 1*10</w:t>
      </w:r>
      <w:r>
        <w:rPr>
          <w:rFonts w:cs="Arial"/>
          <w:color w:val="000000" w:themeColor="text1"/>
          <w:szCs w:val="24"/>
          <w:vertAlign w:val="superscript"/>
        </w:rPr>
        <w:t>5</w:t>
      </w:r>
      <w:r>
        <w:rPr>
          <w:rFonts w:cs="Arial"/>
          <w:color w:val="000000" w:themeColor="text1"/>
          <w:szCs w:val="24"/>
        </w:rPr>
        <w:t xml:space="preserve"> bei den mit Mykoplasmen infizierten Zellen) aus der Suspension in neue Kulturflaschen überführt und mit der passenden Menge an Zelllinienmedium (siehe </w:t>
      </w:r>
      <w:r>
        <w:rPr>
          <w:rFonts w:cs="Arial"/>
          <w:color w:val="000000" w:themeColor="text1"/>
          <w:szCs w:val="24"/>
        </w:rPr>
        <w:fldChar w:fldCharType="begin"/>
      </w:r>
      <w:r>
        <w:rPr>
          <w:rFonts w:cs="Arial"/>
          <w:color w:val="000000" w:themeColor="text1"/>
          <w:szCs w:val="24"/>
        </w:rPr>
        <w:instrText xml:space="preserve"> REF _Ref100332251 \h </w:instrText>
      </w:r>
      <w:r>
        <w:rPr>
          <w:rFonts w:cs="Arial"/>
          <w:color w:val="000000" w:themeColor="text1"/>
          <w:szCs w:val="24"/>
        </w:rPr>
      </w:r>
      <w:r>
        <w:rPr>
          <w:rFonts w:cs="Arial"/>
          <w:color w:val="000000" w:themeColor="text1"/>
          <w:szCs w:val="24"/>
        </w:rPr>
        <w:fldChar w:fldCharType="separate"/>
      </w:r>
      <w:r w:rsidR="00791554">
        <w:t xml:space="preserve">Tabelle </w:t>
      </w:r>
      <w:r w:rsidR="00791554">
        <w:rPr>
          <w:noProof/>
        </w:rPr>
        <w:t>6</w:t>
      </w:r>
      <w:r>
        <w:rPr>
          <w:rFonts w:cs="Arial"/>
          <w:color w:val="000000" w:themeColor="text1"/>
          <w:szCs w:val="24"/>
        </w:rPr>
        <w:fldChar w:fldCharType="end"/>
      </w:r>
      <w:r>
        <w:rPr>
          <w:rFonts w:cs="Arial"/>
          <w:color w:val="000000" w:themeColor="text1"/>
          <w:szCs w:val="24"/>
        </w:rPr>
        <w:t>) ergänzt. Die Flasche wurde erneut geschwenkt, damit sich die Zellen gleichmäßig auf dem Flaschenboden verteilten und nicht nur an einer Stelle adhärent werden. Danach wurde die Flasche wieder in den Inkubator gelegt und das Medium wurde alle drei Tage erneuert. Für den gesamten Zeitraum zwischen der ersten und zweiten Passage wurde alle 24 Stunden eine Fotodokumentation unter dem Mikroskop bei 10- und 20-facher Vergrößerung durchgeführt.</w:t>
      </w:r>
    </w:p>
    <w:p w14:paraId="6C41BC05" w14:textId="72F1FBD6" w:rsidR="00C85902" w:rsidRPr="00FA06F3" w:rsidRDefault="00C85902" w:rsidP="005D4457">
      <w:pPr>
        <w:pStyle w:val="Beschriftung"/>
        <w:keepNext/>
        <w:rPr>
          <w:vanish/>
          <w:specVanish/>
        </w:rPr>
      </w:pPr>
      <w:bookmarkStart w:id="49" w:name="_Ref100332251"/>
      <w:bookmarkStart w:id="50" w:name="_Ref120292495"/>
      <w:bookmarkStart w:id="51" w:name="_Toc120649848"/>
      <w:r>
        <w:t xml:space="preserve">Tabelle </w:t>
      </w:r>
      <w:r>
        <w:fldChar w:fldCharType="begin"/>
      </w:r>
      <w:r>
        <w:instrText xml:space="preserve"> SEQ Tabelle \* ARABIC </w:instrText>
      </w:r>
      <w:r>
        <w:fldChar w:fldCharType="separate"/>
      </w:r>
      <w:r w:rsidR="00791554">
        <w:rPr>
          <w:noProof/>
        </w:rPr>
        <w:t>6</w:t>
      </w:r>
      <w:r>
        <w:rPr>
          <w:noProof/>
        </w:rPr>
        <w:fldChar w:fldCharType="end"/>
      </w:r>
      <w:bookmarkEnd w:id="49"/>
      <w:r>
        <w:t xml:space="preserve"> Bestandteile Zelllinienmedium</w:t>
      </w:r>
      <w:bookmarkEnd w:id="50"/>
      <w:bookmarkEnd w:id="51"/>
    </w:p>
    <w:p w14:paraId="30D6F8D7" w14:textId="77777777" w:rsidR="00C85902" w:rsidRDefault="00C85902" w:rsidP="005D4457">
      <w:pPr>
        <w:pStyle w:val="Beschriftung"/>
        <w:keepNext/>
      </w:pPr>
      <w:r>
        <w:t xml:space="preserve"> </w:t>
      </w:r>
      <w:r>
        <w:br/>
        <w:t xml:space="preserve">In dieser Tabelle sind die Bestandteile des Mediums für die kommerziellen Tumor-Zelllinien inklusive der Herstelle aufgeführt. MEM: Minimal Essential Medium </w:t>
      </w:r>
    </w:p>
    <w:tbl>
      <w:tblPr>
        <w:tblStyle w:val="Tabellenraster"/>
        <w:tblW w:w="0" w:type="auto"/>
        <w:tblLook w:val="04A0" w:firstRow="1" w:lastRow="0" w:firstColumn="1" w:lastColumn="0" w:noHBand="0" w:noVBand="1"/>
      </w:tblPr>
      <w:tblGrid>
        <w:gridCol w:w="1384"/>
        <w:gridCol w:w="4253"/>
        <w:gridCol w:w="2857"/>
      </w:tblGrid>
      <w:tr w:rsidR="00C85902" w:rsidRPr="00B64EDC" w14:paraId="63501385" w14:textId="77777777" w:rsidTr="0071667A">
        <w:trPr>
          <w:trHeight w:val="57"/>
        </w:trPr>
        <w:tc>
          <w:tcPr>
            <w:tcW w:w="1384" w:type="dxa"/>
            <w:shd w:val="clear" w:color="auto" w:fill="E7E6E6" w:themeFill="background2"/>
          </w:tcPr>
          <w:p w14:paraId="42150EAC" w14:textId="77777777" w:rsidR="00C85902" w:rsidRPr="00257A08" w:rsidRDefault="00C85902" w:rsidP="007C0ECC">
            <w:pPr>
              <w:spacing w:line="240" w:lineRule="auto"/>
              <w:jc w:val="center"/>
              <w:rPr>
                <w:rFonts w:cs="Arial"/>
                <w:b/>
                <w:bCs/>
                <w:color w:val="000000"/>
                <w:sz w:val="20"/>
                <w:szCs w:val="20"/>
              </w:rPr>
            </w:pPr>
            <w:r w:rsidRPr="00257A08">
              <w:rPr>
                <w:rFonts w:cs="Arial"/>
                <w:b/>
                <w:bCs/>
                <w:color w:val="000000"/>
                <w:sz w:val="20"/>
                <w:szCs w:val="20"/>
              </w:rPr>
              <w:t>Menge</w:t>
            </w:r>
          </w:p>
        </w:tc>
        <w:tc>
          <w:tcPr>
            <w:tcW w:w="4253" w:type="dxa"/>
            <w:shd w:val="clear" w:color="auto" w:fill="E7E6E6" w:themeFill="background2"/>
          </w:tcPr>
          <w:p w14:paraId="3CE0A9A9" w14:textId="77777777" w:rsidR="00C85902" w:rsidRPr="00257A08" w:rsidRDefault="00C85902" w:rsidP="007C0ECC">
            <w:pPr>
              <w:spacing w:line="240" w:lineRule="auto"/>
              <w:jc w:val="center"/>
              <w:rPr>
                <w:rFonts w:cs="Arial"/>
                <w:b/>
                <w:bCs/>
                <w:color w:val="000000"/>
                <w:sz w:val="20"/>
                <w:szCs w:val="20"/>
              </w:rPr>
            </w:pPr>
            <w:r w:rsidRPr="00257A08">
              <w:rPr>
                <w:rFonts w:cs="Arial"/>
                <w:b/>
                <w:bCs/>
                <w:color w:val="000000"/>
                <w:sz w:val="20"/>
                <w:szCs w:val="20"/>
              </w:rPr>
              <w:t>Name</w:t>
            </w:r>
          </w:p>
        </w:tc>
        <w:tc>
          <w:tcPr>
            <w:tcW w:w="2857" w:type="dxa"/>
            <w:shd w:val="clear" w:color="auto" w:fill="E7E6E6" w:themeFill="background2"/>
          </w:tcPr>
          <w:p w14:paraId="11D995AF" w14:textId="77777777" w:rsidR="00C85902" w:rsidRPr="00257A08" w:rsidRDefault="00C85902" w:rsidP="007C0ECC">
            <w:pPr>
              <w:spacing w:line="240" w:lineRule="auto"/>
              <w:jc w:val="center"/>
              <w:rPr>
                <w:rFonts w:cs="Arial"/>
                <w:b/>
                <w:bCs/>
                <w:color w:val="000000"/>
                <w:sz w:val="20"/>
                <w:szCs w:val="20"/>
              </w:rPr>
            </w:pPr>
            <w:r w:rsidRPr="00257A08">
              <w:rPr>
                <w:rFonts w:cs="Arial"/>
                <w:b/>
                <w:bCs/>
                <w:color w:val="000000"/>
                <w:sz w:val="20"/>
                <w:szCs w:val="20"/>
              </w:rPr>
              <w:t>Hersteller</w:t>
            </w:r>
          </w:p>
        </w:tc>
      </w:tr>
      <w:tr w:rsidR="00C85902" w:rsidRPr="00600BBD" w14:paraId="4E546C3F" w14:textId="77777777" w:rsidTr="0071667A">
        <w:trPr>
          <w:trHeight w:val="57"/>
        </w:trPr>
        <w:tc>
          <w:tcPr>
            <w:tcW w:w="1384" w:type="dxa"/>
          </w:tcPr>
          <w:p w14:paraId="1209B0F5" w14:textId="77777777" w:rsidR="00C85902" w:rsidRPr="00257A08" w:rsidRDefault="00C85902" w:rsidP="00257A08">
            <w:pPr>
              <w:spacing w:line="240" w:lineRule="auto"/>
              <w:rPr>
                <w:rFonts w:cs="Arial"/>
                <w:color w:val="000000"/>
                <w:sz w:val="20"/>
                <w:szCs w:val="20"/>
              </w:rPr>
            </w:pPr>
            <w:r w:rsidRPr="00257A08">
              <w:rPr>
                <w:rFonts w:cs="Arial"/>
                <w:color w:val="000000"/>
                <w:sz w:val="20"/>
                <w:szCs w:val="20"/>
              </w:rPr>
              <w:t>450</w:t>
            </w:r>
            <w:r w:rsidRPr="00257A08">
              <w:rPr>
                <w:w w:val="50"/>
                <w:sz w:val="20"/>
                <w:szCs w:val="20"/>
              </w:rPr>
              <w:t xml:space="preserve">  </w:t>
            </w:r>
            <w:r w:rsidRPr="00257A08">
              <w:rPr>
                <w:sz w:val="20"/>
                <w:szCs w:val="20"/>
              </w:rPr>
              <w:t>ml</w:t>
            </w:r>
          </w:p>
        </w:tc>
        <w:tc>
          <w:tcPr>
            <w:tcW w:w="4253" w:type="dxa"/>
          </w:tcPr>
          <w:p w14:paraId="18D6601A" w14:textId="77777777" w:rsidR="00C85902" w:rsidRPr="00257A08" w:rsidRDefault="00C85902" w:rsidP="00257A08">
            <w:pPr>
              <w:spacing w:line="240" w:lineRule="auto"/>
              <w:rPr>
                <w:rFonts w:cs="Arial"/>
                <w:color w:val="000000"/>
                <w:sz w:val="20"/>
                <w:szCs w:val="20"/>
              </w:rPr>
            </w:pPr>
            <w:r w:rsidRPr="0071667A">
              <w:rPr>
                <w:rFonts w:cs="Arial"/>
                <w:color w:val="000000"/>
                <w:sz w:val="20"/>
                <w:szCs w:val="20"/>
              </w:rPr>
              <w:t xml:space="preserve">MEM </w:t>
            </w:r>
            <w:r w:rsidRPr="00257A08">
              <w:rPr>
                <w:rFonts w:cs="Arial"/>
                <w:color w:val="000000"/>
                <w:sz w:val="20"/>
                <w:szCs w:val="20"/>
              </w:rPr>
              <w:t>mit Earle’s Salzen ohne L-Glutamin</w:t>
            </w:r>
          </w:p>
        </w:tc>
        <w:tc>
          <w:tcPr>
            <w:tcW w:w="2857" w:type="dxa"/>
          </w:tcPr>
          <w:p w14:paraId="733188A7" w14:textId="77777777" w:rsidR="00C85902" w:rsidRPr="00257A08" w:rsidRDefault="00C85902" w:rsidP="009D19C9">
            <w:pPr>
              <w:spacing w:line="240" w:lineRule="auto"/>
              <w:jc w:val="center"/>
              <w:rPr>
                <w:rFonts w:cs="Arial"/>
                <w:color w:val="000000"/>
                <w:sz w:val="20"/>
                <w:szCs w:val="20"/>
                <w:lang w:val="en-GB"/>
              </w:rPr>
            </w:pPr>
            <w:r w:rsidRPr="00257A08">
              <w:rPr>
                <w:rFonts w:cs="Arial"/>
                <w:sz w:val="20"/>
                <w:szCs w:val="20"/>
                <w:lang w:val="en-GB"/>
              </w:rPr>
              <w:t>BIO SELL REF BS.F 0325</w:t>
            </w:r>
          </w:p>
        </w:tc>
      </w:tr>
      <w:tr w:rsidR="00C85902" w:rsidRPr="00B64EDC" w14:paraId="574119D7" w14:textId="77777777" w:rsidTr="0071667A">
        <w:trPr>
          <w:trHeight w:val="57"/>
        </w:trPr>
        <w:tc>
          <w:tcPr>
            <w:tcW w:w="1384" w:type="dxa"/>
          </w:tcPr>
          <w:p w14:paraId="17C99736" w14:textId="77777777" w:rsidR="00C85902" w:rsidRPr="00257A08" w:rsidRDefault="00C85902" w:rsidP="00257A08">
            <w:pPr>
              <w:spacing w:line="240" w:lineRule="auto"/>
              <w:rPr>
                <w:rFonts w:cs="Arial"/>
                <w:color w:val="000000"/>
                <w:sz w:val="20"/>
                <w:szCs w:val="20"/>
              </w:rPr>
            </w:pPr>
            <w:r w:rsidRPr="00257A08">
              <w:rPr>
                <w:rFonts w:cs="Arial"/>
                <w:color w:val="000000"/>
                <w:sz w:val="20"/>
                <w:szCs w:val="20"/>
              </w:rPr>
              <w:t>50</w:t>
            </w:r>
            <w:r w:rsidRPr="00257A08">
              <w:rPr>
                <w:w w:val="50"/>
                <w:sz w:val="20"/>
                <w:szCs w:val="20"/>
              </w:rPr>
              <w:t> </w:t>
            </w:r>
            <w:r w:rsidRPr="00257A08">
              <w:rPr>
                <w:rFonts w:cs="Arial"/>
                <w:color w:val="000000"/>
                <w:sz w:val="20"/>
                <w:szCs w:val="20"/>
              </w:rPr>
              <w:t>ml</w:t>
            </w:r>
          </w:p>
        </w:tc>
        <w:tc>
          <w:tcPr>
            <w:tcW w:w="4253" w:type="dxa"/>
          </w:tcPr>
          <w:p w14:paraId="2BBAC2CB" w14:textId="77777777" w:rsidR="00C85902" w:rsidRPr="0071667A" w:rsidRDefault="00C85902" w:rsidP="00257A08">
            <w:pPr>
              <w:spacing w:line="240" w:lineRule="auto"/>
              <w:rPr>
                <w:rFonts w:cs="Arial"/>
                <w:color w:val="000000"/>
                <w:sz w:val="20"/>
                <w:szCs w:val="20"/>
              </w:rPr>
            </w:pPr>
            <w:r w:rsidRPr="0071667A">
              <w:rPr>
                <w:rFonts w:cs="Arial"/>
                <w:color w:val="000000"/>
                <w:sz w:val="20"/>
                <w:szCs w:val="20"/>
              </w:rPr>
              <w:t>FRS (fetales Rinderserum)</w:t>
            </w:r>
          </w:p>
        </w:tc>
        <w:tc>
          <w:tcPr>
            <w:tcW w:w="2857" w:type="dxa"/>
          </w:tcPr>
          <w:p w14:paraId="36CFA6DC" w14:textId="77777777" w:rsidR="00C85902" w:rsidRPr="00257A08" w:rsidRDefault="00C85902" w:rsidP="009D19C9">
            <w:pPr>
              <w:spacing w:line="240" w:lineRule="auto"/>
              <w:jc w:val="center"/>
              <w:rPr>
                <w:rFonts w:cs="Arial"/>
                <w:color w:val="000000"/>
                <w:sz w:val="20"/>
                <w:szCs w:val="20"/>
              </w:rPr>
            </w:pPr>
            <w:r>
              <w:rPr>
                <w:rFonts w:cs="Arial"/>
                <w:color w:val="000000"/>
                <w:sz w:val="20"/>
                <w:szCs w:val="20"/>
              </w:rPr>
              <w:t>Sigma</w:t>
            </w:r>
          </w:p>
        </w:tc>
      </w:tr>
      <w:tr w:rsidR="00C85902" w:rsidRPr="00B64EDC" w14:paraId="2689FB7D" w14:textId="77777777" w:rsidTr="0071667A">
        <w:trPr>
          <w:trHeight w:val="57"/>
        </w:trPr>
        <w:tc>
          <w:tcPr>
            <w:tcW w:w="1384" w:type="dxa"/>
          </w:tcPr>
          <w:p w14:paraId="778937BA" w14:textId="77777777" w:rsidR="00C85902" w:rsidRPr="00257A08" w:rsidRDefault="00C85902" w:rsidP="00257A08">
            <w:pPr>
              <w:spacing w:line="240" w:lineRule="auto"/>
              <w:rPr>
                <w:rFonts w:cs="Arial"/>
                <w:color w:val="000000"/>
                <w:sz w:val="20"/>
                <w:szCs w:val="20"/>
              </w:rPr>
            </w:pPr>
            <w:r w:rsidRPr="00257A08">
              <w:rPr>
                <w:rFonts w:cs="Arial"/>
                <w:color w:val="000000"/>
                <w:sz w:val="20"/>
                <w:szCs w:val="20"/>
              </w:rPr>
              <w:t>5</w:t>
            </w:r>
            <w:r w:rsidRPr="00257A08">
              <w:rPr>
                <w:w w:val="50"/>
                <w:sz w:val="20"/>
                <w:szCs w:val="20"/>
              </w:rPr>
              <w:t> </w:t>
            </w:r>
            <w:r w:rsidRPr="00257A08">
              <w:rPr>
                <w:rFonts w:cs="Arial"/>
                <w:color w:val="000000"/>
                <w:sz w:val="20"/>
                <w:szCs w:val="20"/>
              </w:rPr>
              <w:t>ml</w:t>
            </w:r>
          </w:p>
        </w:tc>
        <w:tc>
          <w:tcPr>
            <w:tcW w:w="4253" w:type="dxa"/>
          </w:tcPr>
          <w:p w14:paraId="662BC69D" w14:textId="77777777" w:rsidR="00C85902" w:rsidRPr="0071667A" w:rsidRDefault="00C85902" w:rsidP="00257A08">
            <w:pPr>
              <w:spacing w:line="240" w:lineRule="auto"/>
              <w:rPr>
                <w:rFonts w:cs="Arial"/>
                <w:color w:val="000000"/>
                <w:sz w:val="20"/>
                <w:szCs w:val="20"/>
              </w:rPr>
            </w:pPr>
            <w:r w:rsidRPr="0071667A">
              <w:rPr>
                <w:rFonts w:cs="Arial"/>
                <w:color w:val="000000"/>
                <w:sz w:val="20"/>
                <w:szCs w:val="20"/>
              </w:rPr>
              <w:t>Pen/Strep</w:t>
            </w:r>
          </w:p>
        </w:tc>
        <w:tc>
          <w:tcPr>
            <w:tcW w:w="2857" w:type="dxa"/>
          </w:tcPr>
          <w:p w14:paraId="386F728A" w14:textId="77777777" w:rsidR="00C85902" w:rsidRPr="00257A08" w:rsidRDefault="00C85902" w:rsidP="009D19C9">
            <w:pPr>
              <w:keepNext/>
              <w:spacing w:line="240" w:lineRule="auto"/>
              <w:jc w:val="center"/>
              <w:rPr>
                <w:rFonts w:cs="Arial"/>
                <w:color w:val="000000"/>
                <w:sz w:val="20"/>
                <w:szCs w:val="20"/>
              </w:rPr>
            </w:pPr>
            <w:r w:rsidRPr="00257A08">
              <w:rPr>
                <w:rFonts w:cs="Arial"/>
                <w:sz w:val="20"/>
                <w:szCs w:val="20"/>
              </w:rPr>
              <w:t>Gibco REF 15140-122</w:t>
            </w:r>
          </w:p>
        </w:tc>
      </w:tr>
    </w:tbl>
    <w:p w14:paraId="1681BEB5" w14:textId="77777777" w:rsidR="00C85902" w:rsidRDefault="00C85902" w:rsidP="005D4457">
      <w:pPr>
        <w:pStyle w:val="Beschriftung"/>
        <w:keepNext/>
        <w:rPr>
          <w:rFonts w:cs="Arial"/>
          <w:b/>
          <w:bCs/>
          <w:i w:val="0"/>
          <w:iCs w:val="0"/>
          <w:color w:val="000000"/>
          <w:sz w:val="24"/>
          <w:szCs w:val="24"/>
          <w:u w:val="single"/>
        </w:rPr>
      </w:pPr>
    </w:p>
    <w:p w14:paraId="0A7DE67F" w14:textId="55C44224" w:rsidR="00C85902" w:rsidRPr="00257A08" w:rsidRDefault="00C85902" w:rsidP="005D4457">
      <w:pPr>
        <w:pStyle w:val="Beschriftung"/>
        <w:keepNext/>
        <w:rPr>
          <w:vanish/>
          <w:specVanish/>
        </w:rPr>
      </w:pPr>
      <w:bookmarkStart w:id="52" w:name="_Ref100332461"/>
      <w:bookmarkStart w:id="53" w:name="_Toc120649849"/>
      <w:r>
        <w:t xml:space="preserve">Tabelle </w:t>
      </w:r>
      <w:r>
        <w:fldChar w:fldCharType="begin"/>
      </w:r>
      <w:r>
        <w:instrText xml:space="preserve"> SEQ Tabelle \* ARABIC </w:instrText>
      </w:r>
      <w:r>
        <w:fldChar w:fldCharType="separate"/>
      </w:r>
      <w:r w:rsidR="00791554">
        <w:rPr>
          <w:noProof/>
        </w:rPr>
        <w:t>7</w:t>
      </w:r>
      <w:r>
        <w:rPr>
          <w:noProof/>
        </w:rPr>
        <w:fldChar w:fldCharType="end"/>
      </w:r>
      <w:bookmarkEnd w:id="52"/>
      <w:r>
        <w:t xml:space="preserve"> Material für die Zellpassage</w:t>
      </w:r>
      <w:bookmarkEnd w:id="53"/>
      <w:r>
        <w:t xml:space="preserve"> </w:t>
      </w:r>
    </w:p>
    <w:p w14:paraId="1B004738" w14:textId="77777777" w:rsidR="00C85902" w:rsidRDefault="00C85902" w:rsidP="005D4457">
      <w:pPr>
        <w:pStyle w:val="Beschriftung"/>
        <w:keepNext/>
      </w:pPr>
      <w:r>
        <w:t xml:space="preserve"> </w:t>
      </w:r>
      <w:r>
        <w:br/>
        <w:t>In dieser Tabelle ist das Material für die Zellpassage der kommerziellen Tumor-Zelllinien inklusive der Hersteller aufgeführt. EDTA: Ethylendiamintetraacetic acid PBS: Dulbecco’s Phosphate Buffered Saline</w:t>
      </w:r>
    </w:p>
    <w:tbl>
      <w:tblPr>
        <w:tblStyle w:val="Tabellenraster"/>
        <w:tblW w:w="0" w:type="auto"/>
        <w:tblLook w:val="04A0" w:firstRow="1" w:lastRow="0" w:firstColumn="1" w:lastColumn="0" w:noHBand="0" w:noVBand="1"/>
      </w:tblPr>
      <w:tblGrid>
        <w:gridCol w:w="2730"/>
        <w:gridCol w:w="2779"/>
        <w:gridCol w:w="2985"/>
      </w:tblGrid>
      <w:tr w:rsidR="00C85902" w14:paraId="2F368703" w14:textId="77777777" w:rsidTr="0071667A">
        <w:tc>
          <w:tcPr>
            <w:tcW w:w="2802" w:type="dxa"/>
            <w:shd w:val="clear" w:color="auto" w:fill="E7E6E6" w:themeFill="background2"/>
          </w:tcPr>
          <w:p w14:paraId="74B8E1D8" w14:textId="77777777" w:rsidR="00C85902" w:rsidRPr="00257A08" w:rsidRDefault="00C85902" w:rsidP="00257A08">
            <w:pPr>
              <w:spacing w:line="240" w:lineRule="auto"/>
              <w:jc w:val="center"/>
              <w:rPr>
                <w:rFonts w:cs="Arial"/>
                <w:b/>
                <w:bCs/>
                <w:color w:val="000000"/>
                <w:sz w:val="20"/>
              </w:rPr>
            </w:pPr>
            <w:r w:rsidRPr="00257A08">
              <w:rPr>
                <w:rFonts w:cs="Arial"/>
                <w:b/>
                <w:bCs/>
                <w:color w:val="000000"/>
                <w:sz w:val="20"/>
              </w:rPr>
              <w:t>Menge</w:t>
            </w:r>
          </w:p>
        </w:tc>
        <w:tc>
          <w:tcPr>
            <w:tcW w:w="2835" w:type="dxa"/>
            <w:shd w:val="clear" w:color="auto" w:fill="E7E6E6" w:themeFill="background2"/>
          </w:tcPr>
          <w:p w14:paraId="73BD05A4" w14:textId="77777777" w:rsidR="00C85902" w:rsidRPr="00257A08" w:rsidRDefault="00C85902" w:rsidP="00257A08">
            <w:pPr>
              <w:spacing w:line="240" w:lineRule="auto"/>
              <w:jc w:val="center"/>
              <w:rPr>
                <w:rFonts w:cs="Arial"/>
                <w:b/>
                <w:bCs/>
                <w:color w:val="000000"/>
                <w:sz w:val="20"/>
              </w:rPr>
            </w:pPr>
            <w:r w:rsidRPr="00257A08">
              <w:rPr>
                <w:rFonts w:cs="Arial"/>
                <w:b/>
                <w:bCs/>
                <w:color w:val="000000"/>
                <w:sz w:val="20"/>
              </w:rPr>
              <w:t>Name</w:t>
            </w:r>
          </w:p>
        </w:tc>
        <w:tc>
          <w:tcPr>
            <w:tcW w:w="3083" w:type="dxa"/>
            <w:shd w:val="clear" w:color="auto" w:fill="E7E6E6" w:themeFill="background2"/>
          </w:tcPr>
          <w:p w14:paraId="358E4D41" w14:textId="77777777" w:rsidR="00C85902" w:rsidRPr="00257A08" w:rsidRDefault="00C85902" w:rsidP="00257A08">
            <w:pPr>
              <w:spacing w:line="240" w:lineRule="auto"/>
              <w:jc w:val="center"/>
              <w:rPr>
                <w:rFonts w:cs="Arial"/>
                <w:b/>
                <w:bCs/>
                <w:color w:val="000000"/>
                <w:sz w:val="20"/>
              </w:rPr>
            </w:pPr>
            <w:r w:rsidRPr="00257A08">
              <w:rPr>
                <w:rFonts w:cs="Arial"/>
                <w:b/>
                <w:bCs/>
                <w:color w:val="000000"/>
                <w:sz w:val="20"/>
              </w:rPr>
              <w:t>Hersteller</w:t>
            </w:r>
          </w:p>
        </w:tc>
      </w:tr>
      <w:tr w:rsidR="00C85902" w14:paraId="0554E910" w14:textId="77777777" w:rsidTr="0071667A">
        <w:tc>
          <w:tcPr>
            <w:tcW w:w="2802" w:type="dxa"/>
          </w:tcPr>
          <w:p w14:paraId="59E6541B" w14:textId="77777777" w:rsidR="00C85902" w:rsidRPr="00257A08" w:rsidRDefault="00C85902" w:rsidP="00257A08">
            <w:pPr>
              <w:spacing w:line="240" w:lineRule="auto"/>
              <w:rPr>
                <w:rFonts w:cs="Arial"/>
                <w:color w:val="000000"/>
                <w:sz w:val="20"/>
              </w:rPr>
            </w:pPr>
          </w:p>
        </w:tc>
        <w:tc>
          <w:tcPr>
            <w:tcW w:w="2835" w:type="dxa"/>
          </w:tcPr>
          <w:p w14:paraId="74357DBA" w14:textId="77777777" w:rsidR="00C85902" w:rsidRPr="00257A08" w:rsidRDefault="00C85902" w:rsidP="00257A08">
            <w:pPr>
              <w:spacing w:line="240" w:lineRule="auto"/>
              <w:rPr>
                <w:rFonts w:cs="Arial"/>
                <w:color w:val="000000"/>
                <w:sz w:val="20"/>
              </w:rPr>
            </w:pPr>
            <w:r w:rsidRPr="00257A08">
              <w:rPr>
                <w:rFonts w:cs="Arial"/>
                <w:color w:val="000000"/>
                <w:sz w:val="20"/>
              </w:rPr>
              <w:t>Zelllinienmedium (s.o.)</w:t>
            </w:r>
          </w:p>
        </w:tc>
        <w:tc>
          <w:tcPr>
            <w:tcW w:w="3083" w:type="dxa"/>
          </w:tcPr>
          <w:p w14:paraId="43253451" w14:textId="07593FA9" w:rsidR="00C85902" w:rsidRPr="00257A08" w:rsidRDefault="00C85902" w:rsidP="00563F22">
            <w:pPr>
              <w:spacing w:line="240" w:lineRule="auto"/>
              <w:jc w:val="center"/>
              <w:rPr>
                <w:rFonts w:cs="Arial"/>
                <w:color w:val="000000"/>
                <w:sz w:val="20"/>
              </w:rPr>
            </w:pPr>
            <w:r w:rsidRPr="00257A08">
              <w:rPr>
                <w:rFonts w:cs="Arial"/>
                <w:color w:val="000000"/>
                <w:sz w:val="20"/>
              </w:rPr>
              <w:t xml:space="preserve">Siehe </w:t>
            </w:r>
            <w:r w:rsidRPr="00257A08">
              <w:rPr>
                <w:rFonts w:cs="Arial"/>
                <w:color w:val="000000"/>
                <w:sz w:val="20"/>
              </w:rPr>
              <w:fldChar w:fldCharType="begin"/>
            </w:r>
            <w:r w:rsidRPr="00257A08">
              <w:rPr>
                <w:rFonts w:cs="Arial"/>
                <w:color w:val="000000"/>
                <w:sz w:val="20"/>
              </w:rPr>
              <w:instrText xml:space="preserve"> REF _Ref100332251 \h  \* MERGEFORMAT </w:instrText>
            </w:r>
            <w:r w:rsidRPr="00257A08">
              <w:rPr>
                <w:rFonts w:cs="Arial"/>
                <w:color w:val="000000"/>
                <w:sz w:val="20"/>
              </w:rPr>
            </w:r>
            <w:r w:rsidRPr="00257A08">
              <w:rPr>
                <w:rFonts w:cs="Arial"/>
                <w:color w:val="000000"/>
                <w:sz w:val="20"/>
              </w:rPr>
              <w:fldChar w:fldCharType="separate"/>
            </w:r>
            <w:r w:rsidR="00791554" w:rsidRPr="00791554">
              <w:rPr>
                <w:sz w:val="20"/>
              </w:rPr>
              <w:t xml:space="preserve">Tabelle </w:t>
            </w:r>
            <w:r w:rsidR="00791554" w:rsidRPr="00791554">
              <w:rPr>
                <w:noProof/>
                <w:sz w:val="20"/>
              </w:rPr>
              <w:t>6</w:t>
            </w:r>
            <w:r w:rsidRPr="00257A08">
              <w:rPr>
                <w:rFonts w:cs="Arial"/>
                <w:color w:val="000000"/>
                <w:sz w:val="20"/>
              </w:rPr>
              <w:fldChar w:fldCharType="end"/>
            </w:r>
          </w:p>
        </w:tc>
      </w:tr>
      <w:tr w:rsidR="00C85902" w:rsidRPr="00F24897" w14:paraId="7D1A1196" w14:textId="77777777" w:rsidTr="0071667A">
        <w:tc>
          <w:tcPr>
            <w:tcW w:w="2802" w:type="dxa"/>
          </w:tcPr>
          <w:p w14:paraId="257DB1ED" w14:textId="77777777" w:rsidR="00C85902" w:rsidRPr="00257A08" w:rsidRDefault="00C85902" w:rsidP="00257A08">
            <w:pPr>
              <w:spacing w:line="240" w:lineRule="auto"/>
              <w:rPr>
                <w:rFonts w:cs="Arial"/>
                <w:color w:val="000000"/>
                <w:sz w:val="20"/>
              </w:rPr>
            </w:pPr>
            <w:r w:rsidRPr="00257A08">
              <w:rPr>
                <w:rFonts w:cs="Arial"/>
                <w:color w:val="000000"/>
                <w:sz w:val="20"/>
              </w:rPr>
              <w:t>Ca. 7</w:t>
            </w:r>
            <w:r w:rsidRPr="00257A08">
              <w:rPr>
                <w:w w:val="50"/>
                <w:sz w:val="20"/>
              </w:rPr>
              <w:t> </w:t>
            </w:r>
            <w:r w:rsidRPr="00257A08">
              <w:rPr>
                <w:rFonts w:cs="Arial"/>
                <w:color w:val="000000"/>
                <w:sz w:val="20"/>
              </w:rPr>
              <w:t>ml pro Kulturflasche</w:t>
            </w:r>
          </w:p>
        </w:tc>
        <w:tc>
          <w:tcPr>
            <w:tcW w:w="2835" w:type="dxa"/>
          </w:tcPr>
          <w:p w14:paraId="621FA3E4" w14:textId="77777777" w:rsidR="00C85902" w:rsidRPr="00257A08" w:rsidRDefault="00C85902" w:rsidP="00257A08">
            <w:pPr>
              <w:spacing w:line="240" w:lineRule="auto"/>
              <w:rPr>
                <w:rFonts w:cs="Arial"/>
                <w:color w:val="000000"/>
                <w:sz w:val="20"/>
                <w:lang w:val="en-GB"/>
              </w:rPr>
            </w:pPr>
            <w:r w:rsidRPr="00257A08">
              <w:rPr>
                <w:rFonts w:cs="Arial"/>
                <w:color w:val="000000"/>
                <w:sz w:val="20"/>
                <w:lang w:val="en-GB"/>
              </w:rPr>
              <w:t>PBS</w:t>
            </w:r>
          </w:p>
        </w:tc>
        <w:tc>
          <w:tcPr>
            <w:tcW w:w="3083" w:type="dxa"/>
          </w:tcPr>
          <w:p w14:paraId="72DF5703" w14:textId="77777777" w:rsidR="00C85902" w:rsidRPr="00257A08" w:rsidRDefault="00C85902" w:rsidP="00563F22">
            <w:pPr>
              <w:spacing w:line="240" w:lineRule="auto"/>
              <w:jc w:val="center"/>
              <w:rPr>
                <w:rFonts w:cs="Arial"/>
                <w:color w:val="000000"/>
                <w:sz w:val="20"/>
                <w:lang w:val="en-GB"/>
              </w:rPr>
            </w:pPr>
            <w:r w:rsidRPr="00257A08">
              <w:rPr>
                <w:rFonts w:cs="Arial"/>
                <w:color w:val="000000"/>
                <w:sz w:val="20"/>
              </w:rPr>
              <w:t>Sigma REF D8537</w:t>
            </w:r>
          </w:p>
        </w:tc>
      </w:tr>
      <w:tr w:rsidR="00C85902" w:rsidRPr="00F24897" w14:paraId="4A74C521" w14:textId="77777777" w:rsidTr="0071667A">
        <w:tc>
          <w:tcPr>
            <w:tcW w:w="2802" w:type="dxa"/>
          </w:tcPr>
          <w:p w14:paraId="6C219F4D" w14:textId="77777777" w:rsidR="00C85902" w:rsidRPr="00257A08" w:rsidRDefault="00C85902" w:rsidP="00257A08">
            <w:pPr>
              <w:spacing w:line="240" w:lineRule="auto"/>
              <w:rPr>
                <w:rFonts w:cs="Arial"/>
                <w:color w:val="000000"/>
                <w:sz w:val="20"/>
                <w:lang w:val="en-GB"/>
              </w:rPr>
            </w:pPr>
            <w:r w:rsidRPr="00257A08">
              <w:rPr>
                <w:rFonts w:cs="Arial"/>
                <w:color w:val="000000"/>
                <w:sz w:val="20"/>
                <w:lang w:val="en-GB"/>
              </w:rPr>
              <w:t>3</w:t>
            </w:r>
            <w:r w:rsidRPr="00257A08">
              <w:rPr>
                <w:w w:val="50"/>
                <w:sz w:val="20"/>
              </w:rPr>
              <w:t> </w:t>
            </w:r>
            <w:r w:rsidRPr="00257A08">
              <w:rPr>
                <w:rFonts w:cs="Arial"/>
                <w:color w:val="000000"/>
                <w:sz w:val="20"/>
                <w:lang w:val="en-GB"/>
              </w:rPr>
              <w:t>ml pro Kulturflasche</w:t>
            </w:r>
          </w:p>
        </w:tc>
        <w:tc>
          <w:tcPr>
            <w:tcW w:w="2835" w:type="dxa"/>
          </w:tcPr>
          <w:p w14:paraId="60E937E5" w14:textId="77777777" w:rsidR="00C85902" w:rsidRPr="00257A08" w:rsidRDefault="00C85902" w:rsidP="00257A08">
            <w:pPr>
              <w:spacing w:line="240" w:lineRule="auto"/>
              <w:rPr>
                <w:rFonts w:cs="Arial"/>
                <w:color w:val="000000"/>
                <w:sz w:val="20"/>
                <w:lang w:val="en-GB"/>
              </w:rPr>
            </w:pPr>
            <w:r w:rsidRPr="00257A08">
              <w:rPr>
                <w:rFonts w:cs="Arial"/>
                <w:color w:val="000000"/>
                <w:sz w:val="20"/>
              </w:rPr>
              <w:t>Trypsin- EDTA Solution</w:t>
            </w:r>
          </w:p>
        </w:tc>
        <w:tc>
          <w:tcPr>
            <w:tcW w:w="3083" w:type="dxa"/>
          </w:tcPr>
          <w:p w14:paraId="6E122DD2" w14:textId="77777777" w:rsidR="00C85902" w:rsidRPr="00257A08" w:rsidRDefault="00C85902" w:rsidP="00563F22">
            <w:pPr>
              <w:spacing w:line="240" w:lineRule="auto"/>
              <w:jc w:val="center"/>
              <w:rPr>
                <w:rFonts w:cs="Arial"/>
                <w:color w:val="000000"/>
                <w:sz w:val="20"/>
                <w:lang w:val="en-GB"/>
              </w:rPr>
            </w:pPr>
            <w:r w:rsidRPr="00257A08">
              <w:rPr>
                <w:rFonts w:cs="Arial"/>
                <w:color w:val="000000"/>
                <w:sz w:val="20"/>
              </w:rPr>
              <w:t>Sigma REF T3924</w:t>
            </w:r>
          </w:p>
        </w:tc>
      </w:tr>
    </w:tbl>
    <w:p w14:paraId="7CBB55EE" w14:textId="77777777" w:rsidR="00C85902" w:rsidRPr="00A1762E" w:rsidRDefault="00C85902" w:rsidP="00ED556D">
      <w:pPr>
        <w:pStyle w:val="berschrift3"/>
      </w:pPr>
      <w:bookmarkStart w:id="54" w:name="_Ref67390462"/>
      <w:bookmarkStart w:id="55" w:name="_Ref67413702"/>
      <w:bookmarkStart w:id="56" w:name="_Ref67413705"/>
      <w:bookmarkStart w:id="57" w:name="_Ref67413768"/>
      <w:bookmarkStart w:id="58" w:name="_Ref67413774"/>
      <w:bookmarkStart w:id="59" w:name="_Ref67413778"/>
      <w:bookmarkStart w:id="60" w:name="_Toc121158655"/>
      <w:r>
        <w:t>Zellkultur und Passage der aus nativ Präparaten isolierten Harnleiterzellen</w:t>
      </w:r>
      <w:bookmarkEnd w:id="54"/>
      <w:bookmarkEnd w:id="55"/>
      <w:bookmarkEnd w:id="56"/>
      <w:bookmarkEnd w:id="57"/>
      <w:bookmarkEnd w:id="58"/>
      <w:bookmarkEnd w:id="59"/>
      <w:bookmarkEnd w:id="60"/>
      <w:r>
        <w:t xml:space="preserve"> </w:t>
      </w:r>
    </w:p>
    <w:p w14:paraId="39DC8E96" w14:textId="61610C6D" w:rsidR="00C85902" w:rsidRPr="002F0841" w:rsidRDefault="00C85902" w:rsidP="002F0841">
      <w:pPr>
        <w:rPr>
          <w:rFonts w:cs="Arial"/>
          <w:color w:val="000000"/>
          <w:szCs w:val="24"/>
        </w:rPr>
      </w:pPr>
      <w:r>
        <w:rPr>
          <w:rFonts w:cs="Arial"/>
          <w:color w:val="000000"/>
          <w:szCs w:val="24"/>
        </w:rPr>
        <w:t xml:space="preserve">Das für die nativen Zellen verwendete </w:t>
      </w:r>
      <w:r w:rsidRPr="00C167EF">
        <w:rPr>
          <w:rFonts w:cs="Arial"/>
          <w:color w:val="000000" w:themeColor="text1"/>
          <w:szCs w:val="24"/>
        </w:rPr>
        <w:t>KSFM-</w:t>
      </w:r>
      <w:r w:rsidRPr="00C167EF">
        <w:rPr>
          <w:rFonts w:cs="Arial"/>
          <w:color w:val="000000"/>
          <w:szCs w:val="24"/>
        </w:rPr>
        <w:t>Medium</w:t>
      </w:r>
      <w:r>
        <w:rPr>
          <w:rFonts w:cs="Arial"/>
          <w:color w:val="000000"/>
          <w:szCs w:val="24"/>
        </w:rPr>
        <w:t xml:space="preserve"> ist lichtempfindlich und wurde zum Schutz mit Alufolie umwickelt. Es besteht aus den in </w:t>
      </w:r>
      <w:r>
        <w:rPr>
          <w:rFonts w:cs="Arial"/>
          <w:color w:val="000000"/>
          <w:szCs w:val="24"/>
        </w:rPr>
        <w:fldChar w:fldCharType="begin"/>
      </w:r>
      <w:r>
        <w:rPr>
          <w:rFonts w:cs="Arial"/>
          <w:color w:val="000000"/>
          <w:szCs w:val="24"/>
        </w:rPr>
        <w:instrText xml:space="preserve"> REF _Ref100332532 \h </w:instrText>
      </w:r>
      <w:r>
        <w:rPr>
          <w:rFonts w:cs="Arial"/>
          <w:color w:val="000000"/>
          <w:szCs w:val="24"/>
        </w:rPr>
      </w:r>
      <w:r>
        <w:rPr>
          <w:rFonts w:cs="Arial"/>
          <w:color w:val="000000"/>
          <w:szCs w:val="24"/>
        </w:rPr>
        <w:fldChar w:fldCharType="separate"/>
      </w:r>
      <w:r w:rsidR="00791554">
        <w:t xml:space="preserve">Tabelle </w:t>
      </w:r>
      <w:r w:rsidR="00791554">
        <w:rPr>
          <w:noProof/>
        </w:rPr>
        <w:t>8</w:t>
      </w:r>
      <w:r>
        <w:rPr>
          <w:rFonts w:cs="Arial"/>
          <w:color w:val="000000"/>
          <w:szCs w:val="24"/>
        </w:rPr>
        <w:fldChar w:fldCharType="end"/>
      </w:r>
      <w:r>
        <w:rPr>
          <w:rFonts w:cs="Arial"/>
          <w:color w:val="000000"/>
          <w:szCs w:val="24"/>
        </w:rPr>
        <w:t xml:space="preserve"> aufgeführten Substanzen:</w:t>
      </w:r>
    </w:p>
    <w:p w14:paraId="5D56E589" w14:textId="0059A49C" w:rsidR="00C85902" w:rsidRPr="00257A08" w:rsidRDefault="00C85902" w:rsidP="00D27195">
      <w:pPr>
        <w:pStyle w:val="Beschriftung"/>
        <w:keepNext/>
        <w:rPr>
          <w:vanish/>
          <w:specVanish/>
        </w:rPr>
      </w:pPr>
      <w:bookmarkStart w:id="61" w:name="_Ref100332532"/>
      <w:bookmarkStart w:id="62" w:name="_Toc120649850"/>
      <w:r>
        <w:t xml:space="preserve">Tabelle </w:t>
      </w:r>
      <w:r>
        <w:fldChar w:fldCharType="begin"/>
      </w:r>
      <w:r>
        <w:instrText xml:space="preserve"> SEQ Tabelle \* ARABIC </w:instrText>
      </w:r>
      <w:r>
        <w:fldChar w:fldCharType="separate"/>
      </w:r>
      <w:r w:rsidR="00791554">
        <w:rPr>
          <w:noProof/>
        </w:rPr>
        <w:t>8</w:t>
      </w:r>
      <w:r>
        <w:rPr>
          <w:noProof/>
        </w:rPr>
        <w:fldChar w:fldCharType="end"/>
      </w:r>
      <w:bookmarkEnd w:id="61"/>
      <w:r>
        <w:t xml:space="preserve"> </w:t>
      </w:r>
      <w:r w:rsidRPr="00676C35">
        <w:t>KSFM</w:t>
      </w:r>
      <w:r>
        <w:t>-</w:t>
      </w:r>
      <w:r w:rsidRPr="00676C35">
        <w:t>Zellmedium der präparierten Tumorzellen</w:t>
      </w:r>
      <w:bookmarkEnd w:id="62"/>
      <w:r>
        <w:t xml:space="preserve"> </w:t>
      </w:r>
    </w:p>
    <w:p w14:paraId="69B098D3" w14:textId="77777777" w:rsidR="00C85902" w:rsidRDefault="00C85902" w:rsidP="00D27195">
      <w:pPr>
        <w:pStyle w:val="Beschriftung"/>
        <w:keepNext/>
      </w:pPr>
      <w:r>
        <w:t xml:space="preserve"> </w:t>
      </w:r>
      <w:r>
        <w:br/>
        <w:t xml:space="preserve">In dieser Tabelle sind die Bestandteile des Zellmediums für die aus OP-Präparaten isolierten Harnleiterzellen inklusive der Angabe der Hersteller. KSFM: Keratinocyten Serum-freies Medium. HEPES: 4-(2-Hydroxyethyl)-piperazin-1-ethansulfonsäure  EDTA: </w:t>
      </w:r>
      <w:r w:rsidRPr="0071667A">
        <w:t>Ethylendiamintetraacetat</w:t>
      </w:r>
    </w:p>
    <w:tbl>
      <w:tblPr>
        <w:tblStyle w:val="Tabellenraster"/>
        <w:tblW w:w="0" w:type="auto"/>
        <w:tblLook w:val="04A0" w:firstRow="1" w:lastRow="0" w:firstColumn="1" w:lastColumn="0" w:noHBand="0" w:noVBand="1"/>
      </w:tblPr>
      <w:tblGrid>
        <w:gridCol w:w="1234"/>
        <w:gridCol w:w="3201"/>
        <w:gridCol w:w="4059"/>
      </w:tblGrid>
      <w:tr w:rsidR="00C85902" w14:paraId="5C1E97AF" w14:textId="77777777" w:rsidTr="0071667A">
        <w:trPr>
          <w:trHeight w:val="170"/>
        </w:trPr>
        <w:tc>
          <w:tcPr>
            <w:tcW w:w="1234" w:type="dxa"/>
            <w:shd w:val="clear" w:color="auto" w:fill="E7E6E6" w:themeFill="background2"/>
          </w:tcPr>
          <w:p w14:paraId="36E3D19C" w14:textId="77777777" w:rsidR="00C85902" w:rsidRPr="00257A08" w:rsidRDefault="00C85902" w:rsidP="00257A08">
            <w:pPr>
              <w:spacing w:line="240" w:lineRule="auto"/>
              <w:jc w:val="center"/>
              <w:rPr>
                <w:rFonts w:cs="Arial"/>
                <w:b/>
                <w:bCs/>
                <w:sz w:val="20"/>
              </w:rPr>
            </w:pPr>
            <w:r w:rsidRPr="00257A08">
              <w:rPr>
                <w:rFonts w:cs="Arial"/>
                <w:b/>
                <w:bCs/>
                <w:sz w:val="20"/>
              </w:rPr>
              <w:t>Menge</w:t>
            </w:r>
          </w:p>
        </w:tc>
        <w:tc>
          <w:tcPr>
            <w:tcW w:w="3201" w:type="dxa"/>
            <w:shd w:val="clear" w:color="auto" w:fill="E7E6E6" w:themeFill="background2"/>
          </w:tcPr>
          <w:p w14:paraId="5CED2A48" w14:textId="77777777" w:rsidR="00C85902" w:rsidRPr="00257A08" w:rsidRDefault="00C85902" w:rsidP="00257A08">
            <w:pPr>
              <w:spacing w:line="240" w:lineRule="auto"/>
              <w:jc w:val="center"/>
              <w:rPr>
                <w:rFonts w:cs="Arial"/>
                <w:b/>
                <w:bCs/>
                <w:sz w:val="20"/>
              </w:rPr>
            </w:pPr>
            <w:r w:rsidRPr="00257A08">
              <w:rPr>
                <w:rFonts w:cs="Arial"/>
                <w:b/>
                <w:bCs/>
                <w:sz w:val="20"/>
              </w:rPr>
              <w:t>Name</w:t>
            </w:r>
          </w:p>
        </w:tc>
        <w:tc>
          <w:tcPr>
            <w:tcW w:w="4059" w:type="dxa"/>
            <w:shd w:val="clear" w:color="auto" w:fill="E7E6E6" w:themeFill="background2"/>
          </w:tcPr>
          <w:p w14:paraId="117BF97B" w14:textId="77777777" w:rsidR="00C85902" w:rsidRPr="00257A08" w:rsidRDefault="00C85902" w:rsidP="00257A08">
            <w:pPr>
              <w:spacing w:line="240" w:lineRule="auto"/>
              <w:jc w:val="center"/>
              <w:rPr>
                <w:rFonts w:cs="Arial"/>
                <w:b/>
                <w:bCs/>
                <w:sz w:val="20"/>
              </w:rPr>
            </w:pPr>
            <w:r w:rsidRPr="00257A08">
              <w:rPr>
                <w:rFonts w:cs="Arial"/>
                <w:b/>
                <w:bCs/>
                <w:sz w:val="20"/>
              </w:rPr>
              <w:t>Hersteller</w:t>
            </w:r>
          </w:p>
        </w:tc>
      </w:tr>
      <w:tr w:rsidR="00C85902" w:rsidRPr="002F0841" w14:paraId="242519C1" w14:textId="77777777" w:rsidTr="0071667A">
        <w:trPr>
          <w:trHeight w:val="170"/>
        </w:trPr>
        <w:tc>
          <w:tcPr>
            <w:tcW w:w="1234" w:type="dxa"/>
          </w:tcPr>
          <w:p w14:paraId="1CADF0AA" w14:textId="77777777" w:rsidR="00C85902" w:rsidRPr="00257A08" w:rsidRDefault="00C85902" w:rsidP="00257A08">
            <w:pPr>
              <w:spacing w:line="240" w:lineRule="auto"/>
              <w:rPr>
                <w:rFonts w:cs="Arial"/>
                <w:sz w:val="20"/>
              </w:rPr>
            </w:pPr>
            <w:r w:rsidRPr="00257A08">
              <w:rPr>
                <w:rFonts w:cs="Arial"/>
                <w:sz w:val="20"/>
              </w:rPr>
              <w:t>500</w:t>
            </w:r>
            <w:r w:rsidRPr="00257A08">
              <w:rPr>
                <w:w w:val="50"/>
                <w:sz w:val="20"/>
                <w:lang w:val="en-GB"/>
              </w:rPr>
              <w:t> </w:t>
            </w:r>
            <w:r w:rsidRPr="00257A08">
              <w:rPr>
                <w:rFonts w:cs="Arial"/>
                <w:sz w:val="20"/>
                <w:lang w:val="en-GB"/>
              </w:rPr>
              <w:t>ml</w:t>
            </w:r>
          </w:p>
        </w:tc>
        <w:tc>
          <w:tcPr>
            <w:tcW w:w="3201" w:type="dxa"/>
          </w:tcPr>
          <w:p w14:paraId="57F6664C" w14:textId="77777777" w:rsidR="00C85902" w:rsidRPr="00257A08" w:rsidRDefault="00C85902" w:rsidP="009D19C9">
            <w:pPr>
              <w:spacing w:line="240" w:lineRule="auto"/>
              <w:jc w:val="center"/>
              <w:rPr>
                <w:rFonts w:cs="Arial"/>
                <w:sz w:val="20"/>
              </w:rPr>
            </w:pPr>
            <w:r w:rsidRPr="00257A08">
              <w:rPr>
                <w:rFonts w:cs="Arial"/>
                <w:sz w:val="20"/>
              </w:rPr>
              <w:t>Keratinocyte-SFM</w:t>
            </w:r>
          </w:p>
        </w:tc>
        <w:tc>
          <w:tcPr>
            <w:tcW w:w="4059" w:type="dxa"/>
          </w:tcPr>
          <w:p w14:paraId="22BF68D3" w14:textId="77777777" w:rsidR="00C85902" w:rsidRPr="00257A08" w:rsidRDefault="00C85902" w:rsidP="009D19C9">
            <w:pPr>
              <w:spacing w:line="240" w:lineRule="auto"/>
              <w:jc w:val="center"/>
              <w:rPr>
                <w:rFonts w:cs="Arial"/>
                <w:sz w:val="20"/>
              </w:rPr>
            </w:pPr>
            <w:r w:rsidRPr="00257A08">
              <w:rPr>
                <w:rFonts w:cs="Arial"/>
                <w:color w:val="000000"/>
                <w:sz w:val="20"/>
              </w:rPr>
              <w:t>Gibco REF 17 005-034</w:t>
            </w:r>
          </w:p>
        </w:tc>
      </w:tr>
      <w:tr w:rsidR="00C85902" w:rsidRPr="002F0841" w14:paraId="5B9DB5CB" w14:textId="77777777" w:rsidTr="0071667A">
        <w:trPr>
          <w:trHeight w:val="170"/>
        </w:trPr>
        <w:tc>
          <w:tcPr>
            <w:tcW w:w="1234" w:type="dxa"/>
          </w:tcPr>
          <w:p w14:paraId="3E59D64F" w14:textId="77777777" w:rsidR="00C85902" w:rsidRPr="00257A08" w:rsidRDefault="00C85902" w:rsidP="00257A08">
            <w:pPr>
              <w:spacing w:line="240" w:lineRule="auto"/>
              <w:rPr>
                <w:rFonts w:cs="Arial"/>
                <w:sz w:val="20"/>
              </w:rPr>
            </w:pPr>
          </w:p>
        </w:tc>
        <w:tc>
          <w:tcPr>
            <w:tcW w:w="3201" w:type="dxa"/>
          </w:tcPr>
          <w:p w14:paraId="177F5C55" w14:textId="77777777" w:rsidR="00C85902" w:rsidRPr="00257A08" w:rsidRDefault="00C85902" w:rsidP="009D19C9">
            <w:pPr>
              <w:spacing w:line="240" w:lineRule="auto"/>
              <w:jc w:val="center"/>
              <w:rPr>
                <w:rFonts w:cs="Arial"/>
                <w:sz w:val="20"/>
              </w:rPr>
            </w:pPr>
            <w:r w:rsidRPr="00257A08">
              <w:rPr>
                <w:rFonts w:cs="Arial"/>
                <w:color w:val="000000"/>
                <w:sz w:val="20"/>
              </w:rPr>
              <w:t>Supplemente KSFM</w:t>
            </w:r>
          </w:p>
        </w:tc>
        <w:tc>
          <w:tcPr>
            <w:tcW w:w="4059" w:type="dxa"/>
          </w:tcPr>
          <w:p w14:paraId="0C05F53C" w14:textId="77777777" w:rsidR="00C85902" w:rsidRPr="00257A08" w:rsidRDefault="00C85902" w:rsidP="009D19C9">
            <w:pPr>
              <w:spacing w:line="240" w:lineRule="auto"/>
              <w:jc w:val="center"/>
              <w:rPr>
                <w:rFonts w:cs="Arial"/>
                <w:sz w:val="20"/>
              </w:rPr>
            </w:pPr>
            <w:r w:rsidRPr="00257A08">
              <w:rPr>
                <w:rFonts w:cs="Arial"/>
                <w:color w:val="000000"/>
                <w:sz w:val="20"/>
              </w:rPr>
              <w:t>Gibco REF 37000-015</w:t>
            </w:r>
          </w:p>
        </w:tc>
      </w:tr>
      <w:tr w:rsidR="00C85902" w:rsidRPr="002F0841" w14:paraId="12148E31" w14:textId="77777777" w:rsidTr="0071667A">
        <w:trPr>
          <w:trHeight w:val="170"/>
        </w:trPr>
        <w:tc>
          <w:tcPr>
            <w:tcW w:w="1234" w:type="dxa"/>
          </w:tcPr>
          <w:p w14:paraId="4C541306" w14:textId="77777777" w:rsidR="00C85902" w:rsidRPr="00257A08" w:rsidRDefault="00C85902" w:rsidP="00257A08">
            <w:pPr>
              <w:spacing w:line="240" w:lineRule="auto"/>
              <w:rPr>
                <w:rFonts w:cs="Arial"/>
                <w:sz w:val="20"/>
              </w:rPr>
            </w:pPr>
            <w:r w:rsidRPr="00257A08">
              <w:rPr>
                <w:rFonts w:cs="Arial"/>
                <w:sz w:val="20"/>
                <w:lang w:val="en-GB"/>
              </w:rPr>
              <w:t>5</w:t>
            </w:r>
            <w:r w:rsidRPr="00257A08">
              <w:rPr>
                <w:w w:val="50"/>
                <w:sz w:val="20"/>
                <w:lang w:val="en-GB"/>
              </w:rPr>
              <w:t> </w:t>
            </w:r>
            <w:r w:rsidRPr="00257A08">
              <w:rPr>
                <w:rFonts w:cs="Arial"/>
                <w:sz w:val="20"/>
                <w:lang w:val="en-GB"/>
              </w:rPr>
              <w:t>ml</w:t>
            </w:r>
          </w:p>
        </w:tc>
        <w:tc>
          <w:tcPr>
            <w:tcW w:w="3201" w:type="dxa"/>
          </w:tcPr>
          <w:p w14:paraId="506AA4B2" w14:textId="77777777" w:rsidR="00C85902" w:rsidRPr="00257A08" w:rsidRDefault="00C85902" w:rsidP="009D19C9">
            <w:pPr>
              <w:spacing w:line="240" w:lineRule="auto"/>
              <w:jc w:val="center"/>
              <w:rPr>
                <w:rFonts w:cs="Arial"/>
                <w:sz w:val="20"/>
              </w:rPr>
            </w:pPr>
            <w:r w:rsidRPr="00257A08">
              <w:rPr>
                <w:rFonts w:cs="Arial"/>
                <w:sz w:val="20"/>
                <w:lang w:val="en-GB"/>
              </w:rPr>
              <w:t>Pen</w:t>
            </w:r>
            <w:r>
              <w:rPr>
                <w:rFonts w:cs="Arial"/>
                <w:sz w:val="20"/>
                <w:lang w:val="en-GB"/>
              </w:rPr>
              <w:t>/</w:t>
            </w:r>
            <w:r w:rsidRPr="00257A08">
              <w:rPr>
                <w:rFonts w:cs="Arial"/>
                <w:sz w:val="20"/>
                <w:lang w:val="en-GB"/>
              </w:rPr>
              <w:t>Strep</w:t>
            </w:r>
          </w:p>
        </w:tc>
        <w:tc>
          <w:tcPr>
            <w:tcW w:w="4059" w:type="dxa"/>
          </w:tcPr>
          <w:p w14:paraId="263D2080" w14:textId="77777777" w:rsidR="00C85902" w:rsidRPr="00257A08" w:rsidRDefault="00C85902" w:rsidP="009D19C9">
            <w:pPr>
              <w:spacing w:line="240" w:lineRule="auto"/>
              <w:jc w:val="center"/>
              <w:rPr>
                <w:rFonts w:cs="Arial"/>
                <w:sz w:val="20"/>
              </w:rPr>
            </w:pPr>
            <w:r w:rsidRPr="00257A08">
              <w:rPr>
                <w:rFonts w:cs="Arial"/>
                <w:sz w:val="20"/>
                <w:lang w:val="en-GB"/>
              </w:rPr>
              <w:t>Gibco REF 15140-122</w:t>
            </w:r>
          </w:p>
        </w:tc>
      </w:tr>
      <w:tr w:rsidR="00C85902" w:rsidRPr="00600BBD" w14:paraId="080722F3" w14:textId="77777777" w:rsidTr="0071667A">
        <w:trPr>
          <w:trHeight w:val="170"/>
        </w:trPr>
        <w:tc>
          <w:tcPr>
            <w:tcW w:w="1234" w:type="dxa"/>
          </w:tcPr>
          <w:p w14:paraId="399FB06A" w14:textId="77777777" w:rsidR="00C85902" w:rsidRPr="00257A08" w:rsidRDefault="00C85902" w:rsidP="00257A08">
            <w:pPr>
              <w:spacing w:line="240" w:lineRule="auto"/>
              <w:rPr>
                <w:rFonts w:cs="Arial"/>
                <w:sz w:val="20"/>
              </w:rPr>
            </w:pPr>
            <w:r w:rsidRPr="00257A08">
              <w:rPr>
                <w:rFonts w:cs="Arial"/>
                <w:sz w:val="20"/>
                <w:lang w:val="en-GB"/>
              </w:rPr>
              <w:t>500</w:t>
            </w:r>
            <w:r w:rsidRPr="00257A08">
              <w:rPr>
                <w:w w:val="50"/>
                <w:sz w:val="20"/>
              </w:rPr>
              <w:t> </w:t>
            </w:r>
            <w:r w:rsidRPr="00257A08">
              <w:rPr>
                <w:rFonts w:cs="Arial"/>
                <w:sz w:val="20"/>
              </w:rPr>
              <w:t>µl</w:t>
            </w:r>
          </w:p>
        </w:tc>
        <w:tc>
          <w:tcPr>
            <w:tcW w:w="3201" w:type="dxa"/>
          </w:tcPr>
          <w:p w14:paraId="3E3F9857" w14:textId="77777777" w:rsidR="00C85902" w:rsidRPr="00257A08" w:rsidRDefault="00C85902" w:rsidP="009D19C9">
            <w:pPr>
              <w:spacing w:line="240" w:lineRule="auto"/>
              <w:jc w:val="center"/>
              <w:rPr>
                <w:rFonts w:cs="Arial"/>
                <w:sz w:val="20"/>
              </w:rPr>
            </w:pPr>
            <w:r w:rsidRPr="00257A08">
              <w:rPr>
                <w:rFonts w:cs="Arial"/>
                <w:sz w:val="20"/>
              </w:rPr>
              <w:t>Choleratoxin Arbeitslösung</w:t>
            </w:r>
          </w:p>
        </w:tc>
        <w:tc>
          <w:tcPr>
            <w:tcW w:w="4059" w:type="dxa"/>
          </w:tcPr>
          <w:p w14:paraId="28C42689" w14:textId="77777777" w:rsidR="00C85902" w:rsidRPr="00257A08" w:rsidRDefault="00C85902" w:rsidP="009D19C9">
            <w:pPr>
              <w:keepNext/>
              <w:spacing w:line="240" w:lineRule="auto"/>
              <w:jc w:val="center"/>
              <w:rPr>
                <w:rFonts w:cs="Arial"/>
                <w:sz w:val="20"/>
                <w:lang w:val="en-GB"/>
              </w:rPr>
            </w:pPr>
            <w:r w:rsidRPr="00257A08">
              <w:rPr>
                <w:rFonts w:cs="Arial"/>
                <w:sz w:val="20"/>
                <w:lang w:val="en-GB"/>
              </w:rPr>
              <w:t>Biological Laboratories Inc. REF 100B</w:t>
            </w:r>
          </w:p>
        </w:tc>
      </w:tr>
      <w:tr w:rsidR="00C85902" w:rsidRPr="0095409A" w14:paraId="2872FA76" w14:textId="77777777" w:rsidTr="0071667A">
        <w:trPr>
          <w:trHeight w:val="170"/>
        </w:trPr>
        <w:tc>
          <w:tcPr>
            <w:tcW w:w="1234" w:type="dxa"/>
          </w:tcPr>
          <w:p w14:paraId="14D47B34" w14:textId="77777777" w:rsidR="00C85902" w:rsidRPr="00257A08" w:rsidRDefault="00C85902" w:rsidP="00257A08">
            <w:pPr>
              <w:spacing w:line="240" w:lineRule="auto"/>
              <w:rPr>
                <w:rFonts w:cs="Arial"/>
                <w:sz w:val="20"/>
                <w:lang w:val="en-GB"/>
              </w:rPr>
            </w:pPr>
          </w:p>
        </w:tc>
        <w:tc>
          <w:tcPr>
            <w:tcW w:w="3201" w:type="dxa"/>
          </w:tcPr>
          <w:p w14:paraId="368732D6" w14:textId="77777777" w:rsidR="00C85902" w:rsidRDefault="00C85902" w:rsidP="003354E8">
            <w:pPr>
              <w:spacing w:line="240" w:lineRule="auto"/>
              <w:rPr>
                <w:rFonts w:cs="Arial"/>
                <w:sz w:val="20"/>
                <w:lang w:val="en-GB"/>
              </w:rPr>
            </w:pPr>
            <w:r w:rsidRPr="003354E8">
              <w:rPr>
                <w:rFonts w:cs="Arial"/>
                <w:b/>
                <w:bCs/>
                <w:sz w:val="20"/>
                <w:u w:val="single"/>
                <w:lang w:val="en-GB"/>
              </w:rPr>
              <w:t>Stripping</w:t>
            </w:r>
            <w:r>
              <w:rPr>
                <w:rFonts w:cs="Arial"/>
                <w:b/>
                <w:bCs/>
                <w:sz w:val="20"/>
                <w:u w:val="single"/>
                <w:lang w:val="en-GB"/>
              </w:rPr>
              <w:t>- L</w:t>
            </w:r>
            <w:r w:rsidRPr="003354E8">
              <w:rPr>
                <w:rFonts w:cs="Arial"/>
                <w:b/>
                <w:bCs/>
                <w:sz w:val="20"/>
                <w:u w:val="single"/>
                <w:lang w:val="en-GB"/>
              </w:rPr>
              <w:t>ösung</w:t>
            </w:r>
            <w:r w:rsidRPr="003354E8">
              <w:rPr>
                <w:rFonts w:cs="Arial"/>
                <w:sz w:val="20"/>
                <w:lang w:val="en-GB"/>
              </w:rPr>
              <w:t xml:space="preserve">: </w:t>
            </w:r>
            <w:r w:rsidRPr="003354E8">
              <w:rPr>
                <w:rFonts w:cs="Arial"/>
                <w:sz w:val="20"/>
                <w:lang w:val="en-GB"/>
              </w:rPr>
              <w:br/>
            </w:r>
            <w:r>
              <w:rPr>
                <w:rFonts w:cs="Arial"/>
                <w:sz w:val="20"/>
                <w:lang w:val="en-GB"/>
              </w:rPr>
              <w:t xml:space="preserve">500 ml </w:t>
            </w:r>
            <w:r w:rsidRPr="003354E8">
              <w:rPr>
                <w:rFonts w:cs="Arial"/>
                <w:sz w:val="20"/>
                <w:lang w:val="en-GB"/>
              </w:rPr>
              <w:t>HBSS 0,35g/l N</w:t>
            </w:r>
            <w:r>
              <w:rPr>
                <w:rFonts w:cs="Arial"/>
                <w:sz w:val="20"/>
                <w:lang w:val="en-GB"/>
              </w:rPr>
              <w:t>aHCO</w:t>
            </w:r>
            <w:r>
              <w:rPr>
                <w:rFonts w:cs="Arial"/>
                <w:sz w:val="20"/>
                <w:vertAlign w:val="subscript"/>
                <w:lang w:val="en-GB"/>
              </w:rPr>
              <w:t>3</w:t>
            </w:r>
            <w:r>
              <w:rPr>
                <w:rFonts w:cs="Arial"/>
                <w:sz w:val="20"/>
                <w:vertAlign w:val="superscript"/>
                <w:lang w:val="en-GB"/>
              </w:rPr>
              <w:t>-</w:t>
            </w:r>
          </w:p>
          <w:p w14:paraId="7BB61760" w14:textId="77777777" w:rsidR="00C85902" w:rsidRDefault="00C85902" w:rsidP="003354E8">
            <w:pPr>
              <w:spacing w:line="240" w:lineRule="auto"/>
              <w:rPr>
                <w:rFonts w:cs="Arial"/>
                <w:sz w:val="20"/>
                <w:lang w:val="en-GB"/>
              </w:rPr>
            </w:pPr>
            <w:r>
              <w:rPr>
                <w:rFonts w:cs="Arial"/>
                <w:sz w:val="20"/>
                <w:lang w:val="en-GB"/>
              </w:rPr>
              <w:t>5 ml 10mM HEPES</w:t>
            </w:r>
          </w:p>
          <w:p w14:paraId="13ABC3B3" w14:textId="77777777" w:rsidR="00C85902" w:rsidRDefault="00C85902" w:rsidP="003354E8">
            <w:pPr>
              <w:spacing w:line="240" w:lineRule="auto"/>
              <w:rPr>
                <w:rFonts w:cs="Arial"/>
                <w:sz w:val="20"/>
                <w:lang w:val="en-GB"/>
              </w:rPr>
            </w:pPr>
            <w:r>
              <w:rPr>
                <w:rFonts w:cs="Arial"/>
                <w:sz w:val="20"/>
                <w:lang w:val="en-GB"/>
              </w:rPr>
              <w:t>20KIU/ml Aprotinin</w:t>
            </w:r>
          </w:p>
          <w:p w14:paraId="3F7F6D63" w14:textId="77777777" w:rsidR="00C85902" w:rsidRPr="003354E8" w:rsidRDefault="00C85902" w:rsidP="003354E8">
            <w:pPr>
              <w:spacing w:line="240" w:lineRule="auto"/>
              <w:rPr>
                <w:rFonts w:cs="Arial"/>
                <w:sz w:val="20"/>
                <w:lang w:val="en-GB"/>
              </w:rPr>
            </w:pPr>
            <w:r>
              <w:rPr>
                <w:rFonts w:cs="Arial"/>
                <w:sz w:val="20"/>
                <w:lang w:val="en-GB"/>
              </w:rPr>
              <w:t xml:space="preserve">50 ml EDTA 1% </w:t>
            </w:r>
          </w:p>
        </w:tc>
        <w:tc>
          <w:tcPr>
            <w:tcW w:w="4059" w:type="dxa"/>
          </w:tcPr>
          <w:p w14:paraId="1694541F" w14:textId="77777777" w:rsidR="00C85902" w:rsidRDefault="00C85902" w:rsidP="009D19C9">
            <w:pPr>
              <w:keepNext/>
              <w:spacing w:line="240" w:lineRule="auto"/>
              <w:jc w:val="center"/>
              <w:rPr>
                <w:rFonts w:cs="Arial"/>
                <w:sz w:val="20"/>
                <w:lang w:val="en-GB"/>
              </w:rPr>
            </w:pPr>
          </w:p>
          <w:p w14:paraId="536BE4FB" w14:textId="77777777" w:rsidR="00C85902" w:rsidRDefault="00C85902" w:rsidP="009D19C9">
            <w:pPr>
              <w:keepNext/>
              <w:spacing w:line="240" w:lineRule="auto"/>
              <w:jc w:val="center"/>
              <w:rPr>
                <w:rFonts w:cs="Arial"/>
                <w:sz w:val="20"/>
                <w:lang w:val="en-GB"/>
              </w:rPr>
            </w:pPr>
            <w:r>
              <w:rPr>
                <w:rFonts w:cs="Arial"/>
                <w:sz w:val="20"/>
                <w:lang w:val="en-GB"/>
              </w:rPr>
              <w:t>Sigma REF H9394</w:t>
            </w:r>
          </w:p>
          <w:p w14:paraId="6D3C421B" w14:textId="77777777" w:rsidR="00C85902" w:rsidRDefault="00C85902" w:rsidP="009D19C9">
            <w:pPr>
              <w:keepNext/>
              <w:spacing w:line="240" w:lineRule="auto"/>
              <w:jc w:val="center"/>
              <w:rPr>
                <w:rFonts w:cs="Arial"/>
                <w:sz w:val="20"/>
                <w:lang w:val="en-GB"/>
              </w:rPr>
            </w:pPr>
            <w:r>
              <w:rPr>
                <w:rFonts w:cs="Arial"/>
                <w:sz w:val="20"/>
                <w:lang w:val="en-GB"/>
              </w:rPr>
              <w:t>Gibco REF 15630-056</w:t>
            </w:r>
          </w:p>
          <w:p w14:paraId="3BC0E63E" w14:textId="77777777" w:rsidR="00C85902" w:rsidRDefault="00C85902" w:rsidP="009D19C9">
            <w:pPr>
              <w:keepNext/>
              <w:spacing w:line="240" w:lineRule="auto"/>
              <w:jc w:val="center"/>
              <w:rPr>
                <w:rFonts w:cs="Arial"/>
                <w:sz w:val="20"/>
                <w:lang w:val="en-GB"/>
              </w:rPr>
            </w:pPr>
            <w:r>
              <w:rPr>
                <w:rFonts w:cs="Arial"/>
                <w:sz w:val="20"/>
                <w:lang w:val="en-GB"/>
              </w:rPr>
              <w:t>Calbiochem REF 9087-70-1</w:t>
            </w:r>
          </w:p>
          <w:p w14:paraId="724DA9AB" w14:textId="77777777" w:rsidR="00C85902" w:rsidRPr="00257A08" w:rsidRDefault="00C85902" w:rsidP="009D19C9">
            <w:pPr>
              <w:keepNext/>
              <w:spacing w:line="240" w:lineRule="auto"/>
              <w:jc w:val="center"/>
              <w:rPr>
                <w:rFonts w:cs="Arial"/>
                <w:sz w:val="20"/>
                <w:lang w:val="en-GB"/>
              </w:rPr>
            </w:pPr>
            <w:r>
              <w:rPr>
                <w:rFonts w:cs="Arial"/>
                <w:sz w:val="20"/>
                <w:lang w:val="en-GB"/>
              </w:rPr>
              <w:t>Biochrom REF L-21133</w:t>
            </w:r>
          </w:p>
        </w:tc>
      </w:tr>
    </w:tbl>
    <w:p w14:paraId="5DFF45BA" w14:textId="77777777" w:rsidR="00C85902" w:rsidRPr="00CC575B" w:rsidRDefault="00C85902" w:rsidP="002F0841">
      <w:pPr>
        <w:pStyle w:val="Beschriftung"/>
        <w:rPr>
          <w:rFonts w:cs="Arial"/>
          <w:color w:val="auto"/>
          <w:szCs w:val="24"/>
          <w:lang w:val="en-GB"/>
        </w:rPr>
      </w:pPr>
    </w:p>
    <w:p w14:paraId="2522C7A4" w14:textId="6232B879" w:rsidR="00C85902" w:rsidRPr="001B65D3" w:rsidRDefault="00C85902" w:rsidP="009B29F1">
      <w:pPr>
        <w:rPr>
          <w:rFonts w:cs="Arial"/>
          <w:color w:val="000000"/>
          <w:szCs w:val="24"/>
        </w:rPr>
      </w:pPr>
      <w:r>
        <w:rPr>
          <w:rFonts w:cs="Arial"/>
          <w:color w:val="000000"/>
          <w:szCs w:val="24"/>
        </w:rPr>
        <w:t>Zunächst wurden die Harnleiterzellen aus dem Präparat isoliert. Hierfür wurde der native Harnleiter zunächst in einer sterilen Petrischale mit 5</w:t>
      </w:r>
      <w:r w:rsidRPr="00697895">
        <w:rPr>
          <w:w w:val="50"/>
        </w:rPr>
        <w:t> </w:t>
      </w:r>
      <w:r>
        <w:rPr>
          <w:rFonts w:cs="Arial"/>
          <w:color w:val="000000"/>
          <w:szCs w:val="24"/>
        </w:rPr>
        <w:t>ml Medium gelagert und mittels Schere und Pinzette geschlitzt und von Geweberesten befreit. Dann wurde das Gewebe in 15</w:t>
      </w:r>
      <w:r w:rsidRPr="00697895">
        <w:rPr>
          <w:w w:val="50"/>
        </w:rPr>
        <w:t> </w:t>
      </w:r>
      <w:r>
        <w:rPr>
          <w:rFonts w:cs="Arial"/>
          <w:color w:val="000000"/>
          <w:szCs w:val="24"/>
        </w:rPr>
        <w:t xml:space="preserve">ml </w:t>
      </w:r>
      <w:r w:rsidRPr="003354E8">
        <w:rPr>
          <w:rFonts w:cs="Arial"/>
          <w:szCs w:val="24"/>
        </w:rPr>
        <w:t>Strippinglösung</w:t>
      </w:r>
      <w:r>
        <w:rPr>
          <w:rFonts w:cs="Arial"/>
          <w:szCs w:val="24"/>
        </w:rPr>
        <w:t xml:space="preserve"> (</w:t>
      </w:r>
      <w:r>
        <w:rPr>
          <w:rFonts w:cs="Arial"/>
          <w:szCs w:val="24"/>
        </w:rPr>
        <w:fldChar w:fldCharType="begin"/>
      </w:r>
      <w:r>
        <w:rPr>
          <w:rFonts w:cs="Arial"/>
          <w:szCs w:val="24"/>
        </w:rPr>
        <w:instrText xml:space="preserve"> REF _Ref100332532 \h </w:instrText>
      </w:r>
      <w:r>
        <w:rPr>
          <w:rFonts w:cs="Arial"/>
          <w:szCs w:val="24"/>
        </w:rPr>
      </w:r>
      <w:r>
        <w:rPr>
          <w:rFonts w:cs="Arial"/>
          <w:szCs w:val="24"/>
        </w:rPr>
        <w:fldChar w:fldCharType="separate"/>
      </w:r>
      <w:r w:rsidR="00791554">
        <w:t xml:space="preserve">Tabelle </w:t>
      </w:r>
      <w:r w:rsidR="00791554">
        <w:rPr>
          <w:noProof/>
        </w:rPr>
        <w:t>8</w:t>
      </w:r>
      <w:r>
        <w:rPr>
          <w:rFonts w:cs="Arial"/>
          <w:szCs w:val="24"/>
        </w:rPr>
        <w:fldChar w:fldCharType="end"/>
      </w:r>
      <w:r>
        <w:rPr>
          <w:rFonts w:cs="Arial"/>
          <w:szCs w:val="24"/>
        </w:rPr>
        <w:t>)</w:t>
      </w:r>
      <w:r w:rsidRPr="003354E8">
        <w:rPr>
          <w:rFonts w:cs="Arial"/>
          <w:szCs w:val="24"/>
        </w:rPr>
        <w:t xml:space="preserve"> überführt und</w:t>
      </w:r>
      <w:r>
        <w:rPr>
          <w:rFonts w:cs="Arial"/>
          <w:color w:val="000000"/>
          <w:szCs w:val="24"/>
        </w:rPr>
        <w:t xml:space="preserve"> für die Dauer von 3</w:t>
      </w:r>
      <w:r w:rsidRPr="00697895">
        <w:rPr>
          <w:w w:val="50"/>
        </w:rPr>
        <w:t> </w:t>
      </w:r>
      <w:r>
        <w:rPr>
          <w:rFonts w:cs="Arial"/>
          <w:color w:val="000000"/>
          <w:szCs w:val="24"/>
        </w:rPr>
        <w:t>Stunden bei 37</w:t>
      </w:r>
      <w:r w:rsidRPr="00697895">
        <w:rPr>
          <w:w w:val="50"/>
        </w:rPr>
        <w:t> </w:t>
      </w:r>
      <w:r>
        <w:rPr>
          <w:rFonts w:cs="Arial"/>
          <w:color w:val="000000"/>
          <w:szCs w:val="24"/>
        </w:rPr>
        <w:t>°C inkubiert. Anschließend wurden in einer frischen Petrischale 3</w:t>
      </w:r>
      <w:r w:rsidRPr="00697895">
        <w:rPr>
          <w:w w:val="50"/>
        </w:rPr>
        <w:t> </w:t>
      </w:r>
      <w:r>
        <w:rPr>
          <w:rFonts w:cs="Arial"/>
          <w:color w:val="000000"/>
          <w:szCs w:val="24"/>
        </w:rPr>
        <w:t>ml KSFM-Medium vorgelegt und die Urothelzellen mittels Gewebeschaber aus dem Präparat gewonnen, sodass sich die Zellen im vorgelegten Medium verteilten. Dieses Medium wurde in einen Zentrifugationsröhrchen überführt. Das Gewebe wurde noch zweimal mit jeweils 5</w:t>
      </w:r>
      <w:r w:rsidRPr="00697895">
        <w:rPr>
          <w:w w:val="50"/>
        </w:rPr>
        <w:t> </w:t>
      </w:r>
      <w:r>
        <w:rPr>
          <w:rFonts w:cs="Arial"/>
          <w:color w:val="000000"/>
          <w:szCs w:val="24"/>
        </w:rPr>
        <w:t>ml frischem KSFM -Medium gespült und auch diese Suspension wurde in das Zentrifugationsröhrchen überführt. Es folgte eine Zentrifugation mit 200</w:t>
      </w:r>
      <w:r w:rsidRPr="00697895">
        <w:rPr>
          <w:w w:val="50"/>
        </w:rPr>
        <w:t> </w:t>
      </w:r>
      <w:r>
        <w:rPr>
          <w:rFonts w:cs="Arial"/>
          <w:color w:val="000000"/>
          <w:szCs w:val="24"/>
        </w:rPr>
        <w:t>rpm für die Dauer von 5</w:t>
      </w:r>
      <w:r w:rsidRPr="00697895">
        <w:rPr>
          <w:w w:val="50"/>
        </w:rPr>
        <w:t> </w:t>
      </w:r>
      <w:r>
        <w:rPr>
          <w:rFonts w:cs="Arial"/>
          <w:color w:val="000000"/>
          <w:szCs w:val="24"/>
        </w:rPr>
        <w:t>Minuten bei 20</w:t>
      </w:r>
      <w:r w:rsidRPr="00697895">
        <w:rPr>
          <w:w w:val="50"/>
        </w:rPr>
        <w:t> </w:t>
      </w:r>
      <w:r>
        <w:rPr>
          <w:rFonts w:cs="Arial"/>
          <w:color w:val="000000"/>
          <w:szCs w:val="24"/>
        </w:rPr>
        <w:t>°C. Danach wurde der Überstand abgesaugt, das Pellet in 2,5</w:t>
      </w:r>
      <w:r w:rsidRPr="00697895">
        <w:rPr>
          <w:w w:val="50"/>
        </w:rPr>
        <w:t> </w:t>
      </w:r>
      <w:r>
        <w:rPr>
          <w:rFonts w:cs="Arial"/>
          <w:color w:val="000000"/>
          <w:szCs w:val="24"/>
        </w:rPr>
        <w:t>ml Medium re-suspendiert und in eine T25 Zellkulturflasche überführt. Ab diesem Zeitpunkt wurden die Zellen bei 37</w:t>
      </w:r>
      <w:r w:rsidRPr="00697895">
        <w:rPr>
          <w:w w:val="50"/>
        </w:rPr>
        <w:t> </w:t>
      </w:r>
      <w:r>
        <w:rPr>
          <w:rFonts w:cs="Arial"/>
          <w:color w:val="000000"/>
          <w:szCs w:val="24"/>
        </w:rPr>
        <w:t>°C und 5</w:t>
      </w:r>
      <w:r w:rsidRPr="00697895">
        <w:rPr>
          <w:w w:val="50"/>
        </w:rPr>
        <w:t> </w:t>
      </w:r>
      <w:r>
        <w:rPr>
          <w:rFonts w:cs="Arial"/>
          <w:color w:val="000000"/>
          <w:szCs w:val="24"/>
        </w:rPr>
        <w:t>% CO</w:t>
      </w:r>
      <w:r>
        <w:rPr>
          <w:rFonts w:cs="Arial"/>
          <w:color w:val="000000"/>
          <w:szCs w:val="24"/>
          <w:vertAlign w:val="subscript"/>
        </w:rPr>
        <w:t>2</w:t>
      </w:r>
      <w:r>
        <w:rPr>
          <w:rFonts w:cs="Arial"/>
          <w:color w:val="000000"/>
          <w:szCs w:val="24"/>
        </w:rPr>
        <w:t xml:space="preserve"> inkubiert und erhielten alle 2 Tage einen Mediumswechsel, bei dem jedes Mal circa 10</w:t>
      </w:r>
      <w:r w:rsidRPr="00697895">
        <w:rPr>
          <w:w w:val="50"/>
        </w:rPr>
        <w:t> </w:t>
      </w:r>
      <w:r>
        <w:rPr>
          <w:rFonts w:cs="Arial"/>
          <w:color w:val="000000"/>
          <w:szCs w:val="24"/>
        </w:rPr>
        <w:t xml:space="preserve">% des alten Mediums belassen wurde, da die Zellen parakrine Wachstumsfaktoren sekretieren und ein besseres Wachstum beobachtet wurde, wenn man einen Teil des alten Mediums belässt. </w:t>
      </w:r>
    </w:p>
    <w:p w14:paraId="4251949A" w14:textId="77777777" w:rsidR="00C85902" w:rsidRPr="0001185F" w:rsidRDefault="00C85902" w:rsidP="009B29F1">
      <w:pPr>
        <w:rPr>
          <w:rFonts w:cs="Arial"/>
          <w:szCs w:val="24"/>
        </w:rPr>
      </w:pPr>
      <w:r>
        <w:rPr>
          <w:rFonts w:cs="Arial"/>
          <w:szCs w:val="24"/>
        </w:rPr>
        <w:t xml:space="preserve">Der gesamte Prozess der Gewinnung und Aufbereitung der Zellen über Fertigung eines Häutchenpräparats bis hin zur </w:t>
      </w:r>
      <w:r w:rsidRPr="000F5557">
        <w:rPr>
          <w:rFonts w:cs="Arial"/>
          <w:szCs w:val="24"/>
        </w:rPr>
        <w:t>AE1AE3 Färbung</w:t>
      </w:r>
      <w:r>
        <w:rPr>
          <w:rFonts w:cs="Arial"/>
          <w:szCs w:val="24"/>
        </w:rPr>
        <w:t xml:space="preserve"> zum Nachweis des urothelialen Phänotyps wurde im Rahmen dieser Arbeit eigenständig gefilmt, vertont und zu Lehrzwecken der Universitätsklinik für Urologie (Kurs „Vitale Implantate“ für Studierende der Medizintechnik) zur Verfügung gestellt.</w:t>
      </w:r>
    </w:p>
    <w:p w14:paraId="4EBEB05C" w14:textId="77777777" w:rsidR="00C85902" w:rsidRPr="00697895" w:rsidRDefault="00C85902" w:rsidP="009B29F1">
      <w:pPr>
        <w:rPr>
          <w:b/>
          <w:bCs/>
          <w:u w:val="single"/>
        </w:rPr>
      </w:pPr>
      <w:r w:rsidRPr="00697895">
        <w:rPr>
          <w:b/>
          <w:bCs/>
          <w:u w:val="single"/>
        </w:rPr>
        <w:t>Passage</w:t>
      </w:r>
    </w:p>
    <w:p w14:paraId="0480A027" w14:textId="1080A62F" w:rsidR="00C85902" w:rsidRDefault="00C85902" w:rsidP="00A74D4C">
      <w:r>
        <w:t xml:space="preserve">Die Harnleiterzellen zeigten ein deutlich langsameres Wachstum als die Zelllinien und wurden deshalb nur alle drei Wochen passagiert. Der genaue Versuchsaufbau ist aus </w:t>
      </w:r>
      <w:r>
        <w:fldChar w:fldCharType="begin"/>
      </w:r>
      <w:r>
        <w:instrText xml:space="preserve"> REF _Ref83195463 \h </w:instrText>
      </w:r>
      <w:r>
        <w:fldChar w:fldCharType="separate"/>
      </w:r>
      <w:r w:rsidR="00791554">
        <w:t xml:space="preserve">Abbildung </w:t>
      </w:r>
      <w:r w:rsidR="00791554">
        <w:rPr>
          <w:noProof/>
        </w:rPr>
        <w:t>4</w:t>
      </w:r>
      <w:r>
        <w:fldChar w:fldCharType="end"/>
      </w:r>
      <w:r>
        <w:t xml:space="preserve"> zu entnehmen. Die verwendeten Substanzen pro Flasche sind in </w:t>
      </w:r>
      <w:r>
        <w:fldChar w:fldCharType="begin"/>
      </w:r>
      <w:r>
        <w:instrText xml:space="preserve"> REF _Ref100332726 \h </w:instrText>
      </w:r>
      <w:r>
        <w:fldChar w:fldCharType="separate"/>
      </w:r>
      <w:r w:rsidR="00791554">
        <w:t xml:space="preserve">Tabelle </w:t>
      </w:r>
      <w:r w:rsidR="00791554">
        <w:rPr>
          <w:noProof/>
        </w:rPr>
        <w:t>9</w:t>
      </w:r>
      <w:r>
        <w:fldChar w:fldCharType="end"/>
      </w:r>
      <w:r>
        <w:t xml:space="preserve"> aufgeführt.</w:t>
      </w:r>
    </w:p>
    <w:p w14:paraId="558CACC4" w14:textId="4FEDEB01" w:rsidR="00C85902" w:rsidRPr="00257A08" w:rsidRDefault="00C85902" w:rsidP="00F920FB">
      <w:pPr>
        <w:pStyle w:val="Beschriftung"/>
        <w:keepNext/>
        <w:rPr>
          <w:vanish/>
          <w:specVanish/>
        </w:rPr>
      </w:pPr>
      <w:bookmarkStart w:id="63" w:name="_Ref100332726"/>
      <w:bookmarkStart w:id="64" w:name="_Toc120649851"/>
      <w:r>
        <w:t xml:space="preserve">Tabelle </w:t>
      </w:r>
      <w:r>
        <w:fldChar w:fldCharType="begin"/>
      </w:r>
      <w:r>
        <w:instrText xml:space="preserve"> SEQ Tabelle \* ARABIC </w:instrText>
      </w:r>
      <w:r>
        <w:fldChar w:fldCharType="separate"/>
      </w:r>
      <w:r w:rsidR="00791554">
        <w:rPr>
          <w:noProof/>
        </w:rPr>
        <w:t>9</w:t>
      </w:r>
      <w:r>
        <w:rPr>
          <w:noProof/>
        </w:rPr>
        <w:fldChar w:fldCharType="end"/>
      </w:r>
      <w:bookmarkEnd w:id="63"/>
      <w:r>
        <w:t xml:space="preserve"> Substanzen für die Passage der aus Harnleitern isolierten Zellen</w:t>
      </w:r>
      <w:bookmarkEnd w:id="64"/>
      <w:r>
        <w:t xml:space="preserve"> </w:t>
      </w:r>
    </w:p>
    <w:p w14:paraId="10CCC8AD" w14:textId="77777777" w:rsidR="00C85902" w:rsidRDefault="00C85902" w:rsidP="00F920FB">
      <w:pPr>
        <w:pStyle w:val="Beschriftung"/>
        <w:keepNext/>
      </w:pPr>
      <w:r>
        <w:t xml:space="preserve"> </w:t>
      </w:r>
      <w:r>
        <w:br/>
        <w:t>In dieser Tabelle sind die Substanzen für die Passage der aus Harnleitern isolierten Zellen inklusive der Hersteller angegeben. EDTA: Ethylendiamintetraacetat</w:t>
      </w:r>
    </w:p>
    <w:tbl>
      <w:tblPr>
        <w:tblStyle w:val="Tabellenraster"/>
        <w:tblW w:w="0" w:type="auto"/>
        <w:tblLook w:val="04A0" w:firstRow="1" w:lastRow="0" w:firstColumn="1" w:lastColumn="0" w:noHBand="0" w:noVBand="1"/>
      </w:tblPr>
      <w:tblGrid>
        <w:gridCol w:w="977"/>
        <w:gridCol w:w="3357"/>
        <w:gridCol w:w="4160"/>
      </w:tblGrid>
      <w:tr w:rsidR="00C85902" w14:paraId="2BC7F45B" w14:textId="77777777" w:rsidTr="0071667A">
        <w:trPr>
          <w:trHeight w:val="227"/>
        </w:trPr>
        <w:tc>
          <w:tcPr>
            <w:tcW w:w="977" w:type="dxa"/>
            <w:shd w:val="clear" w:color="auto" w:fill="E7E6E6" w:themeFill="background2"/>
          </w:tcPr>
          <w:p w14:paraId="1B3B56CA" w14:textId="77777777" w:rsidR="00C85902" w:rsidRPr="00257A08" w:rsidRDefault="00C85902" w:rsidP="00257A08">
            <w:pPr>
              <w:spacing w:line="240" w:lineRule="auto"/>
              <w:jc w:val="center"/>
              <w:rPr>
                <w:b/>
                <w:bCs/>
                <w:sz w:val="20"/>
                <w:szCs w:val="20"/>
              </w:rPr>
            </w:pPr>
            <w:r w:rsidRPr="00257A08">
              <w:rPr>
                <w:b/>
                <w:bCs/>
                <w:sz w:val="20"/>
                <w:szCs w:val="20"/>
              </w:rPr>
              <w:t>Menge</w:t>
            </w:r>
          </w:p>
        </w:tc>
        <w:tc>
          <w:tcPr>
            <w:tcW w:w="3357" w:type="dxa"/>
            <w:shd w:val="clear" w:color="auto" w:fill="E7E6E6" w:themeFill="background2"/>
          </w:tcPr>
          <w:p w14:paraId="4E7D30DD" w14:textId="77777777" w:rsidR="00C85902" w:rsidRPr="00257A08" w:rsidRDefault="00C85902" w:rsidP="00257A08">
            <w:pPr>
              <w:spacing w:line="240" w:lineRule="auto"/>
              <w:jc w:val="center"/>
              <w:rPr>
                <w:b/>
                <w:bCs/>
                <w:sz w:val="20"/>
                <w:szCs w:val="20"/>
              </w:rPr>
            </w:pPr>
            <w:r w:rsidRPr="00257A08">
              <w:rPr>
                <w:b/>
                <w:bCs/>
                <w:sz w:val="20"/>
                <w:szCs w:val="20"/>
              </w:rPr>
              <w:t>Name</w:t>
            </w:r>
          </w:p>
        </w:tc>
        <w:tc>
          <w:tcPr>
            <w:tcW w:w="4160" w:type="dxa"/>
            <w:shd w:val="clear" w:color="auto" w:fill="E7E6E6" w:themeFill="background2"/>
          </w:tcPr>
          <w:p w14:paraId="33C871F1" w14:textId="77777777" w:rsidR="00C85902" w:rsidRPr="00257A08" w:rsidRDefault="00C85902" w:rsidP="00257A08">
            <w:pPr>
              <w:spacing w:line="240" w:lineRule="auto"/>
              <w:jc w:val="center"/>
              <w:rPr>
                <w:b/>
                <w:bCs/>
                <w:sz w:val="20"/>
                <w:szCs w:val="20"/>
              </w:rPr>
            </w:pPr>
            <w:r w:rsidRPr="00257A08">
              <w:rPr>
                <w:b/>
                <w:bCs/>
                <w:sz w:val="20"/>
                <w:szCs w:val="20"/>
              </w:rPr>
              <w:t>Hersteller</w:t>
            </w:r>
          </w:p>
        </w:tc>
      </w:tr>
      <w:tr w:rsidR="00C85902" w:rsidRPr="00935288" w14:paraId="23434759" w14:textId="77777777" w:rsidTr="0071667A">
        <w:trPr>
          <w:trHeight w:val="227"/>
        </w:trPr>
        <w:tc>
          <w:tcPr>
            <w:tcW w:w="977" w:type="dxa"/>
          </w:tcPr>
          <w:p w14:paraId="30F61DAD" w14:textId="77777777" w:rsidR="00C85902" w:rsidRPr="00257A08" w:rsidRDefault="00C85902" w:rsidP="00257A08">
            <w:pPr>
              <w:spacing w:line="240" w:lineRule="auto"/>
              <w:rPr>
                <w:sz w:val="20"/>
                <w:szCs w:val="20"/>
              </w:rPr>
            </w:pPr>
            <w:r w:rsidRPr="00257A08">
              <w:rPr>
                <w:sz w:val="20"/>
                <w:szCs w:val="20"/>
              </w:rPr>
              <w:t>25</w:t>
            </w:r>
            <w:r w:rsidRPr="00257A08">
              <w:rPr>
                <w:w w:val="50"/>
                <w:sz w:val="20"/>
                <w:szCs w:val="20"/>
              </w:rPr>
              <w:t> </w:t>
            </w:r>
            <w:r w:rsidRPr="00257A08">
              <w:rPr>
                <w:sz w:val="20"/>
                <w:szCs w:val="20"/>
              </w:rPr>
              <w:t>ml</w:t>
            </w:r>
          </w:p>
        </w:tc>
        <w:tc>
          <w:tcPr>
            <w:tcW w:w="3357" w:type="dxa"/>
          </w:tcPr>
          <w:p w14:paraId="6CDD4EC9" w14:textId="77777777" w:rsidR="00C85902" w:rsidRPr="00257A08" w:rsidRDefault="00C85902" w:rsidP="009D19C9">
            <w:pPr>
              <w:spacing w:line="240" w:lineRule="auto"/>
              <w:jc w:val="center"/>
              <w:rPr>
                <w:sz w:val="20"/>
                <w:szCs w:val="20"/>
              </w:rPr>
            </w:pPr>
            <w:r w:rsidRPr="00257A08">
              <w:rPr>
                <w:sz w:val="20"/>
                <w:szCs w:val="20"/>
              </w:rPr>
              <w:t>0,1% EDTA (36</w:t>
            </w:r>
            <w:r w:rsidRPr="00257A08">
              <w:rPr>
                <w:w w:val="50"/>
                <w:sz w:val="20"/>
                <w:szCs w:val="20"/>
              </w:rPr>
              <w:t> </w:t>
            </w:r>
            <w:r w:rsidRPr="00257A08">
              <w:rPr>
                <w:sz w:val="20"/>
                <w:szCs w:val="20"/>
              </w:rPr>
              <w:t>ml PBS</w:t>
            </w:r>
          </w:p>
          <w:p w14:paraId="0124662A" w14:textId="77777777" w:rsidR="00C85902" w:rsidRPr="00257A08" w:rsidRDefault="00C85902" w:rsidP="009D19C9">
            <w:pPr>
              <w:spacing w:line="240" w:lineRule="auto"/>
              <w:jc w:val="center"/>
              <w:rPr>
                <w:sz w:val="20"/>
                <w:szCs w:val="20"/>
              </w:rPr>
            </w:pPr>
            <w:r w:rsidRPr="00257A08">
              <w:rPr>
                <w:sz w:val="20"/>
                <w:szCs w:val="20"/>
              </w:rPr>
              <w:t>ergänzt mit 4</w:t>
            </w:r>
            <w:r w:rsidRPr="00257A08">
              <w:rPr>
                <w:w w:val="50"/>
                <w:sz w:val="20"/>
                <w:szCs w:val="20"/>
              </w:rPr>
              <w:t> </w:t>
            </w:r>
            <w:r w:rsidRPr="00257A08">
              <w:rPr>
                <w:sz w:val="20"/>
                <w:szCs w:val="20"/>
              </w:rPr>
              <w:t>ml 1% EDTA</w:t>
            </w:r>
          </w:p>
        </w:tc>
        <w:tc>
          <w:tcPr>
            <w:tcW w:w="4160" w:type="dxa"/>
          </w:tcPr>
          <w:p w14:paraId="6C701785" w14:textId="77777777" w:rsidR="00C85902" w:rsidRPr="00257A08" w:rsidRDefault="00C85902" w:rsidP="009D19C9">
            <w:pPr>
              <w:spacing w:line="240" w:lineRule="auto"/>
              <w:jc w:val="center"/>
              <w:rPr>
                <w:sz w:val="20"/>
                <w:szCs w:val="20"/>
              </w:rPr>
            </w:pPr>
            <w:r w:rsidRPr="00257A08">
              <w:rPr>
                <w:sz w:val="20"/>
                <w:szCs w:val="20"/>
              </w:rPr>
              <w:t>Biochrom REF L2113</w:t>
            </w:r>
            <w:r>
              <w:rPr>
                <w:sz w:val="20"/>
                <w:szCs w:val="20"/>
              </w:rPr>
              <w:br/>
            </w:r>
            <w:r w:rsidRPr="00257A08">
              <w:rPr>
                <w:rFonts w:cs="Arial"/>
                <w:color w:val="000000"/>
                <w:sz w:val="20"/>
              </w:rPr>
              <w:t>Sigma REF T3924</w:t>
            </w:r>
          </w:p>
        </w:tc>
      </w:tr>
      <w:tr w:rsidR="00C85902" w14:paraId="23A7B0CF" w14:textId="77777777" w:rsidTr="0071667A">
        <w:trPr>
          <w:trHeight w:val="227"/>
        </w:trPr>
        <w:tc>
          <w:tcPr>
            <w:tcW w:w="977" w:type="dxa"/>
          </w:tcPr>
          <w:p w14:paraId="6714F447" w14:textId="77777777" w:rsidR="00C85902" w:rsidRPr="00257A08" w:rsidRDefault="00C85902" w:rsidP="00257A08">
            <w:pPr>
              <w:spacing w:line="240" w:lineRule="auto"/>
              <w:rPr>
                <w:sz w:val="20"/>
                <w:szCs w:val="20"/>
              </w:rPr>
            </w:pPr>
            <w:r w:rsidRPr="00257A08">
              <w:rPr>
                <w:sz w:val="20"/>
                <w:szCs w:val="20"/>
              </w:rPr>
              <w:t>1</w:t>
            </w:r>
            <w:r w:rsidRPr="00257A08">
              <w:rPr>
                <w:w w:val="50"/>
                <w:sz w:val="20"/>
                <w:szCs w:val="20"/>
              </w:rPr>
              <w:t> </w:t>
            </w:r>
            <w:r w:rsidRPr="00257A08">
              <w:rPr>
                <w:sz w:val="20"/>
                <w:szCs w:val="20"/>
              </w:rPr>
              <w:t>ml</w:t>
            </w:r>
          </w:p>
        </w:tc>
        <w:tc>
          <w:tcPr>
            <w:tcW w:w="3357" w:type="dxa"/>
          </w:tcPr>
          <w:p w14:paraId="29EC248E" w14:textId="77777777" w:rsidR="00C85902" w:rsidRPr="00257A08" w:rsidRDefault="00C85902" w:rsidP="009D19C9">
            <w:pPr>
              <w:spacing w:line="240" w:lineRule="auto"/>
              <w:jc w:val="center"/>
              <w:rPr>
                <w:sz w:val="20"/>
                <w:szCs w:val="20"/>
              </w:rPr>
            </w:pPr>
            <w:r w:rsidRPr="00257A08">
              <w:rPr>
                <w:sz w:val="20"/>
                <w:szCs w:val="20"/>
              </w:rPr>
              <w:t>TrypLE Express</w:t>
            </w:r>
          </w:p>
        </w:tc>
        <w:tc>
          <w:tcPr>
            <w:tcW w:w="4160" w:type="dxa"/>
          </w:tcPr>
          <w:p w14:paraId="6343307A" w14:textId="77777777" w:rsidR="00C85902" w:rsidRPr="00257A08" w:rsidRDefault="00C85902" w:rsidP="009D19C9">
            <w:pPr>
              <w:spacing w:line="240" w:lineRule="auto"/>
              <w:jc w:val="center"/>
              <w:rPr>
                <w:sz w:val="20"/>
                <w:szCs w:val="20"/>
              </w:rPr>
            </w:pPr>
            <w:r w:rsidRPr="00257A08">
              <w:rPr>
                <w:sz w:val="20"/>
                <w:szCs w:val="20"/>
              </w:rPr>
              <w:t>Gibco REF 12563-011</w:t>
            </w:r>
          </w:p>
        </w:tc>
      </w:tr>
      <w:tr w:rsidR="00C85902" w14:paraId="708EF6D4" w14:textId="77777777" w:rsidTr="0071667A">
        <w:trPr>
          <w:trHeight w:val="227"/>
        </w:trPr>
        <w:tc>
          <w:tcPr>
            <w:tcW w:w="977" w:type="dxa"/>
          </w:tcPr>
          <w:p w14:paraId="7336ABAB" w14:textId="77777777" w:rsidR="00C85902" w:rsidRPr="00257A08" w:rsidRDefault="00C85902" w:rsidP="00257A08">
            <w:pPr>
              <w:spacing w:line="240" w:lineRule="auto"/>
              <w:rPr>
                <w:sz w:val="20"/>
                <w:szCs w:val="20"/>
              </w:rPr>
            </w:pPr>
            <w:r w:rsidRPr="00257A08">
              <w:rPr>
                <w:sz w:val="20"/>
                <w:szCs w:val="20"/>
              </w:rPr>
              <w:t>16</w:t>
            </w:r>
            <w:r w:rsidRPr="00257A08">
              <w:rPr>
                <w:w w:val="50"/>
                <w:sz w:val="20"/>
                <w:szCs w:val="20"/>
              </w:rPr>
              <w:t> </w:t>
            </w:r>
            <w:r w:rsidRPr="00257A08">
              <w:rPr>
                <w:sz w:val="20"/>
                <w:szCs w:val="20"/>
              </w:rPr>
              <w:t>ml</w:t>
            </w:r>
          </w:p>
        </w:tc>
        <w:tc>
          <w:tcPr>
            <w:tcW w:w="3357" w:type="dxa"/>
          </w:tcPr>
          <w:p w14:paraId="1364C159" w14:textId="77777777" w:rsidR="00C85902" w:rsidRPr="00257A08" w:rsidRDefault="00C85902" w:rsidP="009D19C9">
            <w:pPr>
              <w:spacing w:line="240" w:lineRule="auto"/>
              <w:jc w:val="center"/>
              <w:rPr>
                <w:sz w:val="20"/>
                <w:szCs w:val="20"/>
              </w:rPr>
            </w:pPr>
            <w:r w:rsidRPr="00257A08">
              <w:rPr>
                <w:sz w:val="20"/>
                <w:szCs w:val="20"/>
              </w:rPr>
              <w:t>KSFM-Medium</w:t>
            </w:r>
          </w:p>
        </w:tc>
        <w:tc>
          <w:tcPr>
            <w:tcW w:w="4160" w:type="dxa"/>
          </w:tcPr>
          <w:p w14:paraId="1B5A417C" w14:textId="265ACD43" w:rsidR="00C85902" w:rsidRPr="00257A08" w:rsidRDefault="00C85902" w:rsidP="009D19C9">
            <w:pPr>
              <w:spacing w:line="240" w:lineRule="auto"/>
              <w:jc w:val="center"/>
              <w:rPr>
                <w:sz w:val="20"/>
                <w:szCs w:val="20"/>
              </w:rPr>
            </w:pPr>
            <w:r w:rsidRPr="00257A08">
              <w:rPr>
                <w:sz w:val="20"/>
                <w:szCs w:val="20"/>
              </w:rPr>
              <w:t xml:space="preserve">Siehe </w:t>
            </w:r>
            <w:r w:rsidRPr="00257A08">
              <w:rPr>
                <w:sz w:val="20"/>
                <w:szCs w:val="20"/>
              </w:rPr>
              <w:fldChar w:fldCharType="begin"/>
            </w:r>
            <w:r w:rsidRPr="00257A08">
              <w:rPr>
                <w:sz w:val="20"/>
                <w:szCs w:val="20"/>
              </w:rPr>
              <w:instrText xml:space="preserve"> REF _Ref100332532 \h  \* MERGEFORMAT </w:instrText>
            </w:r>
            <w:r w:rsidRPr="00257A08">
              <w:rPr>
                <w:sz w:val="20"/>
                <w:szCs w:val="20"/>
              </w:rPr>
            </w:r>
            <w:r w:rsidRPr="00257A08">
              <w:rPr>
                <w:sz w:val="20"/>
                <w:szCs w:val="20"/>
              </w:rPr>
              <w:fldChar w:fldCharType="separate"/>
            </w:r>
            <w:r w:rsidR="00791554" w:rsidRPr="00791554">
              <w:rPr>
                <w:sz w:val="20"/>
                <w:szCs w:val="20"/>
              </w:rPr>
              <w:t xml:space="preserve">Tabelle </w:t>
            </w:r>
            <w:r w:rsidR="00791554" w:rsidRPr="00791554">
              <w:rPr>
                <w:noProof/>
                <w:sz w:val="20"/>
                <w:szCs w:val="20"/>
              </w:rPr>
              <w:t>8</w:t>
            </w:r>
            <w:r w:rsidRPr="00257A08">
              <w:rPr>
                <w:sz w:val="20"/>
                <w:szCs w:val="20"/>
              </w:rPr>
              <w:fldChar w:fldCharType="end"/>
            </w:r>
          </w:p>
        </w:tc>
      </w:tr>
    </w:tbl>
    <w:p w14:paraId="37A0197A" w14:textId="77777777" w:rsidR="00C85902" w:rsidRDefault="00C85902" w:rsidP="006038B5"/>
    <w:p w14:paraId="13FE3DE8" w14:textId="77777777" w:rsidR="00C85902" w:rsidRDefault="00C85902" w:rsidP="006038B5">
      <w:r w:rsidRPr="006038B5">
        <w:t xml:space="preserve">Zunächst </w:t>
      </w:r>
      <w:r>
        <w:t>wurde</w:t>
      </w:r>
      <w:r w:rsidRPr="006038B5">
        <w:t xml:space="preserve"> </w:t>
      </w:r>
      <w:r>
        <w:t>das alte Medium komplett abgesaugt. Dann wurde mit einer Pipette 2,5</w:t>
      </w:r>
      <w:r w:rsidRPr="00A1762E">
        <w:rPr>
          <w:w w:val="50"/>
        </w:rPr>
        <w:t> </w:t>
      </w:r>
      <w:r>
        <w:t>ml 0,1% EDTA in PBS pro Kulturflasche hinzugegeben und die Flasche zum Verteilen der Flüssigkeit geschwenkt. Danach wurde die Flasche bei 37</w:t>
      </w:r>
      <w:r w:rsidRPr="00A1762E">
        <w:rPr>
          <w:w w:val="50"/>
        </w:rPr>
        <w:t> </w:t>
      </w:r>
      <w:r>
        <w:t>°C für 8</w:t>
      </w:r>
      <w:r w:rsidRPr="00A1762E">
        <w:rPr>
          <w:w w:val="50"/>
        </w:rPr>
        <w:t> </w:t>
      </w:r>
      <w:r>
        <w:t>Minuten inkubiert. Es erfolgte eine mikroskopische Kontrolle, ob die Zellen sich abrunden und sich die Zell-Zell-Kontakte lösen, dabei waren die Zellen weiterhin adhärent am Flaschenboden. Im nächsten Schritt wurde die PBS-EDTA Lösung abgesaugt und je 1</w:t>
      </w:r>
      <w:r w:rsidRPr="00A1762E">
        <w:rPr>
          <w:w w:val="50"/>
        </w:rPr>
        <w:t> </w:t>
      </w:r>
      <w:r>
        <w:t>ml TrypLE Express pro Kulturflasche hinzugegeben. Dann wurde die Flasche für 2 Minuten bei 37</w:t>
      </w:r>
      <w:r w:rsidRPr="00A1762E">
        <w:rPr>
          <w:w w:val="50"/>
        </w:rPr>
        <w:t> </w:t>
      </w:r>
      <w:r>
        <w:t>°C inkubiert, bis sich die Zellen durch leichtes Beklopfen der Flasche lösten. Nach Kontrolle unter dem Lichtmikroskop wurde mit einer Pipette zunächst mit 5</w:t>
      </w:r>
      <w:r w:rsidRPr="00A1762E">
        <w:rPr>
          <w:w w:val="50"/>
        </w:rPr>
        <w:t> </w:t>
      </w:r>
      <w:r>
        <w:t>ml KSFM-Medium mehrfach entlang des Bodens der Kulturflasche gespült, bevor die 6</w:t>
      </w:r>
      <w:r w:rsidRPr="00A1762E">
        <w:rPr>
          <w:w w:val="50"/>
        </w:rPr>
        <w:t> </w:t>
      </w:r>
      <w:r>
        <w:t>ml Flascheninhalt in einen Zentrifugationsröhrchen überführt wurden. Dann wurde der Boden nochmals mit einer frischen Pipette mehrfach mit weiteren 5</w:t>
      </w:r>
      <w:r w:rsidRPr="00A1762E">
        <w:rPr>
          <w:w w:val="50"/>
        </w:rPr>
        <w:t> </w:t>
      </w:r>
      <w:r>
        <w:t>ml frischem Medium gespült und anschließend in das Zentrifugationsröhrchen übertragen. Es folgte eine austarierte Zentrifugation bei 1100</w:t>
      </w:r>
      <w:r w:rsidRPr="00A1762E">
        <w:rPr>
          <w:w w:val="50"/>
        </w:rPr>
        <w:t> </w:t>
      </w:r>
      <w:r>
        <w:t>rpm für 7</w:t>
      </w:r>
      <w:r w:rsidRPr="00A1762E">
        <w:rPr>
          <w:w w:val="50"/>
        </w:rPr>
        <w:t> </w:t>
      </w:r>
      <w:r>
        <w:t>Minuten. Danach wurde der Überstand mit einem Sauger abgenommen und verworfen und das Pellet mit einer Pipette in 1ml frischen Medium wieder aufgelöst. Die Urothelzellen wurden mit einer Eppendorf Pipette in neue, speziell beschichtete Kulturflaschen gegeben und mit 5</w:t>
      </w:r>
      <w:r w:rsidRPr="00A1762E">
        <w:rPr>
          <w:w w:val="50"/>
        </w:rPr>
        <w:t> </w:t>
      </w:r>
      <w:r>
        <w:t>ml frischem KSFM-Medium ergänzt. Zuletzt wurde die Kulturflasche geschwenkt, damit sich der Inhalt über den gesamten Boden homogen verteilt, bevor die Kulturflaschen wieder in den CO</w:t>
      </w:r>
      <w:r>
        <w:rPr>
          <w:vertAlign w:val="subscript"/>
        </w:rPr>
        <w:t>2</w:t>
      </w:r>
      <w:r>
        <w:t xml:space="preserve">-Inkubator gelegt wurden und wie gewohnt nach zwei Tagen einen Mediums Wechsel erhielten. </w:t>
      </w:r>
    </w:p>
    <w:p w14:paraId="1B99A5EE" w14:textId="77777777" w:rsidR="00C85902" w:rsidRDefault="00C85902" w:rsidP="0071667A">
      <w:pPr>
        <w:keepNext/>
        <w:jc w:val="center"/>
      </w:pPr>
      <w:r>
        <w:rPr>
          <w:noProof/>
        </w:rPr>
        <w:drawing>
          <wp:inline distT="0" distB="0" distL="0" distR="0" wp14:anchorId="18F3EB7B" wp14:editId="6DB860A2">
            <wp:extent cx="4767840" cy="22987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3" cstate="print">
                      <a:extLst>
                        <a:ext uri="{28A0092B-C50C-407E-A947-70E740481C1C}">
                          <a14:useLocalDpi xmlns:a14="http://schemas.microsoft.com/office/drawing/2010/main" val="0"/>
                        </a:ext>
                      </a:extLst>
                    </a:blip>
                    <a:srcRect b="14297"/>
                    <a:stretch/>
                  </pic:blipFill>
                  <pic:spPr bwMode="auto">
                    <a:xfrm>
                      <a:off x="0" y="0"/>
                      <a:ext cx="4856629" cy="2341507"/>
                    </a:xfrm>
                    <a:prstGeom prst="rect">
                      <a:avLst/>
                    </a:prstGeom>
                    <a:ln>
                      <a:noFill/>
                    </a:ln>
                    <a:extLst>
                      <a:ext uri="{53640926-AAD7-44D8-BBD7-CCE9431645EC}">
                        <a14:shadowObscured xmlns:a14="http://schemas.microsoft.com/office/drawing/2010/main"/>
                      </a:ext>
                    </a:extLst>
                  </pic:spPr>
                </pic:pic>
              </a:graphicData>
            </a:graphic>
          </wp:inline>
        </w:drawing>
      </w:r>
    </w:p>
    <w:p w14:paraId="707F5B39" w14:textId="53529F0B" w:rsidR="00C85902" w:rsidRPr="00A93217" w:rsidRDefault="00C85902" w:rsidP="007D1A06">
      <w:pPr>
        <w:pStyle w:val="Beschriftung"/>
        <w:rPr>
          <w:vanish/>
          <w:specVanish/>
        </w:rPr>
      </w:pPr>
      <w:bookmarkStart w:id="65" w:name="_Ref83195463"/>
      <w:bookmarkStart w:id="66" w:name="_Toc120649881"/>
      <w:r>
        <w:t xml:space="preserve">Abbildung </w:t>
      </w:r>
      <w:r>
        <w:fldChar w:fldCharType="begin"/>
      </w:r>
      <w:r>
        <w:instrText xml:space="preserve"> SEQ Abbildung \* ARABIC </w:instrText>
      </w:r>
      <w:r>
        <w:fldChar w:fldCharType="separate"/>
      </w:r>
      <w:r w:rsidR="00791554">
        <w:rPr>
          <w:noProof/>
        </w:rPr>
        <w:t>4</w:t>
      </w:r>
      <w:r>
        <w:rPr>
          <w:noProof/>
        </w:rPr>
        <w:fldChar w:fldCharType="end"/>
      </w:r>
      <w:bookmarkEnd w:id="65"/>
      <w:r>
        <w:t xml:space="preserve"> Kulturschema der isolierten Harnleiterzellen</w:t>
      </w:r>
      <w:bookmarkEnd w:id="66"/>
      <w:r>
        <w:t xml:space="preserve"> </w:t>
      </w:r>
    </w:p>
    <w:p w14:paraId="60DB89A6" w14:textId="77777777" w:rsidR="00C85902" w:rsidRPr="00D41368" w:rsidRDefault="00C85902" w:rsidP="007D1A06">
      <w:pPr>
        <w:pStyle w:val="Beschriftung"/>
      </w:pPr>
      <w:r>
        <w:t xml:space="preserve"> </w:t>
      </w:r>
      <w:r>
        <w:br/>
        <w:t xml:space="preserve">Diese Abbildung zeigt das Schema, nach welchem die Zellkultur der aus OP-Präparaten isolierten Zellen kultiviert wurden, um die Zellmenge zu expandieren. Hierbei sind die nicht-infizierten Zellen hellgrau markiert, während die mit Mykoplasmen infizierten Zellen dunkelgrau markiert sind. </w:t>
      </w:r>
    </w:p>
    <w:p w14:paraId="613C8D87" w14:textId="77777777" w:rsidR="00C85902" w:rsidRDefault="00C85902" w:rsidP="00D43118">
      <w:pPr>
        <w:pStyle w:val="berschrift3"/>
      </w:pPr>
      <w:bookmarkStart w:id="67" w:name="_Ref67389188"/>
      <w:bookmarkStart w:id="68" w:name="_Toc121158656"/>
      <w:r>
        <w:t>Infektion von HT1197, HL20/31 und HL20/32</w:t>
      </w:r>
      <w:bookmarkEnd w:id="67"/>
      <w:bookmarkEnd w:id="68"/>
    </w:p>
    <w:p w14:paraId="6B0E6748" w14:textId="77777777" w:rsidR="00C85902" w:rsidRDefault="00C85902" w:rsidP="00065F43">
      <w:r>
        <w:t>Zunächst wurde der Überstand mehrerer, durch MycoSPY</w:t>
      </w:r>
      <w:r w:rsidRPr="00A21E45">
        <w:rPr>
          <w:vertAlign w:val="superscript"/>
        </w:rPr>
        <w:t>®</w:t>
      </w:r>
      <w:r>
        <w:t xml:space="preserve"> nachgewiesenen, infizierten T</w:t>
      </w:r>
      <w:r w:rsidRPr="003E72E4">
        <w:rPr>
          <w:w w:val="50"/>
        </w:rPr>
        <w:t> </w:t>
      </w:r>
      <w:r>
        <w:t>24 Zellkulturen abgenommen und 20</w:t>
      </w:r>
      <w:r w:rsidRPr="003E72E4">
        <w:rPr>
          <w:w w:val="50"/>
        </w:rPr>
        <w:t> </w:t>
      </w:r>
      <w:r>
        <w:t>Minuten bei 2000</w:t>
      </w:r>
      <w:r w:rsidRPr="003E72E4">
        <w:rPr>
          <w:w w:val="50"/>
        </w:rPr>
        <w:t> </w:t>
      </w:r>
      <w:r>
        <w:t>rpm zentrifugiert. Dann wurde der Überstand mit einer Pipette abgenommen und in eine offene 100</w:t>
      </w:r>
      <w:r w:rsidRPr="008C4356">
        <w:rPr>
          <w:w w:val="50"/>
        </w:rPr>
        <w:t> </w:t>
      </w:r>
      <w:r>
        <w:t xml:space="preserve">ml Luer-Lock-Spritze mit aufgeschraubten </w:t>
      </w:r>
      <w:r w:rsidRPr="00EE688A">
        <w:t>0,4</w:t>
      </w:r>
      <w:r w:rsidRPr="00EE688A">
        <w:rPr>
          <w:w w:val="50"/>
        </w:rPr>
        <w:t> </w:t>
      </w:r>
      <w:r w:rsidRPr="00EE688A">
        <w:rPr>
          <w:rFonts w:cs="Arial"/>
        </w:rPr>
        <w:t>µ</w:t>
      </w:r>
      <w:r w:rsidRPr="00EE688A">
        <w:t xml:space="preserve">m </w:t>
      </w:r>
      <w:r>
        <w:t>Filter überführt. Anschließend wurde der Spritzenstempel wieder eingebracht und der Überstand in einen frischen sterilen 50</w:t>
      </w:r>
      <w:r w:rsidRPr="008C4356">
        <w:rPr>
          <w:w w:val="50"/>
        </w:rPr>
        <w:t> </w:t>
      </w:r>
      <w:r>
        <w:t xml:space="preserve">ml Zentrifugationsröhrchen überführt und im Kühlschrank gelagert. Durch dieses Verfahren wurde sichergestellt, dass die Zellbestandteile entfernt wurden, aber die Mykoplasmen mit einer Größe von </w:t>
      </w:r>
      <w:r w:rsidRPr="00EE688A">
        <w:t>0,3 bis 0,8</w:t>
      </w:r>
      <w:r w:rsidRPr="00EE688A">
        <w:rPr>
          <w:w w:val="50"/>
        </w:rPr>
        <w:t> </w:t>
      </w:r>
      <w:r w:rsidRPr="00EE688A">
        <w:rPr>
          <w:rFonts w:cs="Arial"/>
        </w:rPr>
        <w:t>µ</w:t>
      </w:r>
      <w:r w:rsidRPr="00EE688A">
        <w:t xml:space="preserve">m </w:t>
      </w:r>
      <w:r>
        <w:t xml:space="preserve">noch vorhanden sind und für eine Infektion sorgen können. </w:t>
      </w:r>
    </w:p>
    <w:p w14:paraId="229D1CEF" w14:textId="77777777" w:rsidR="00C85902" w:rsidRDefault="00C85902" w:rsidP="00065F43">
      <w:r>
        <w:t xml:space="preserve">Dieses Konzentrat wurde im Folgenden genutzt, um gesunde Zellen zu infizieren. </w:t>
      </w:r>
    </w:p>
    <w:p w14:paraId="006BC655" w14:textId="77777777" w:rsidR="00C85902" w:rsidRDefault="00C85902" w:rsidP="00065F43">
      <w:r>
        <w:rPr>
          <w:b/>
          <w:bCs/>
          <w:u w:val="single"/>
        </w:rPr>
        <w:t>Infektion</w:t>
      </w:r>
      <w:r w:rsidRPr="00C438CB">
        <w:rPr>
          <w:b/>
          <w:bCs/>
          <w:u w:val="single"/>
        </w:rPr>
        <w:t xml:space="preserve"> </w:t>
      </w:r>
      <w:r>
        <w:rPr>
          <w:b/>
          <w:bCs/>
          <w:u w:val="single"/>
        </w:rPr>
        <w:t>von HT1197</w:t>
      </w:r>
      <w:r>
        <w:t>:</w:t>
      </w:r>
    </w:p>
    <w:p w14:paraId="41A4659F" w14:textId="3410683C" w:rsidR="00C85902" w:rsidRPr="00AA1CC9" w:rsidRDefault="00C85902" w:rsidP="00065F43">
      <w:r>
        <w:t>Die Zelllinie HT1197 wurde zunächst mit einer Aussaat von 5x10</w:t>
      </w:r>
      <w:r>
        <w:rPr>
          <w:vertAlign w:val="superscript"/>
        </w:rPr>
        <w:t>5</w:t>
      </w:r>
      <w:r>
        <w:t xml:space="preserve"> Zellen pro Flasche auf sechs Kulturflaschen hochgezogen. Nach einer Woche wurden bei drei Flaschen beim regulären Mediumwechsel, nachdem das alte Medium zuvor vollkommen entfernt wurde, je 1,5</w:t>
      </w:r>
      <w:r w:rsidRPr="00A1762E">
        <w:rPr>
          <w:w w:val="50"/>
        </w:rPr>
        <w:t> </w:t>
      </w:r>
      <w:r>
        <w:t>ml aufbereiteter T24 Überstand und je 8,5</w:t>
      </w:r>
      <w:r w:rsidRPr="00A1762E">
        <w:rPr>
          <w:w w:val="50"/>
        </w:rPr>
        <w:t> </w:t>
      </w:r>
      <w:r>
        <w:t xml:space="preserve">ml frisches Medium hinzugegeben. Dieser Ablauf wurde nach drei Tagen wiederholt, danach erfolgte die normale Zellkultur wie unter </w:t>
      </w:r>
      <w:r>
        <w:fldChar w:fldCharType="begin"/>
      </w:r>
      <w:r>
        <w:instrText xml:space="preserve"> REF _Ref67390509 \r \h </w:instrText>
      </w:r>
      <w:r>
        <w:fldChar w:fldCharType="separate"/>
      </w:r>
      <w:r w:rsidR="00791554">
        <w:t>2.3.1</w:t>
      </w:r>
      <w:r>
        <w:fldChar w:fldCharType="end"/>
      </w:r>
      <w:r>
        <w:t xml:space="preserve"> beschrieben.</w:t>
      </w:r>
    </w:p>
    <w:p w14:paraId="5ADB6E30" w14:textId="77777777" w:rsidR="00C85902" w:rsidRDefault="00C85902" w:rsidP="00065F43">
      <w:r>
        <w:rPr>
          <w:b/>
          <w:bCs/>
          <w:u w:val="single"/>
        </w:rPr>
        <w:t>Infektion</w:t>
      </w:r>
      <w:r w:rsidRPr="00C438CB">
        <w:rPr>
          <w:b/>
          <w:bCs/>
          <w:u w:val="single"/>
        </w:rPr>
        <w:t xml:space="preserve"> der nativen Urothelzellen</w:t>
      </w:r>
      <w:r>
        <w:t>:</w:t>
      </w:r>
    </w:p>
    <w:p w14:paraId="2F1EFC2F" w14:textId="42FBE0AB" w:rsidR="00C85902" w:rsidRPr="002840D9" w:rsidRDefault="00C85902" w:rsidP="00065F43">
      <w:r>
        <w:t>Vor der ersten Infektion wurden die Harnleiterzellen zunächst eine Woche expandiert, dann wurde 1</w:t>
      </w:r>
      <w:r w:rsidRPr="00A1762E">
        <w:rPr>
          <w:w w:val="50"/>
        </w:rPr>
        <w:t> </w:t>
      </w:r>
      <w:r>
        <w:t>ml altes Medium incl. der parakrin gebildeten Wachstumsfaktoren belassen und mit 4</w:t>
      </w:r>
      <w:r w:rsidRPr="00A1762E">
        <w:rPr>
          <w:w w:val="50"/>
        </w:rPr>
        <w:t> </w:t>
      </w:r>
      <w:r>
        <w:t xml:space="preserve">ml frischem </w:t>
      </w:r>
      <w:r w:rsidRPr="00621035">
        <w:t>KSFM</w:t>
      </w:r>
      <w:r>
        <w:rPr>
          <w:color w:val="C00000"/>
        </w:rPr>
        <w:t>-</w:t>
      </w:r>
      <w:r>
        <w:t>Medium ergänzt. Zur Infektion mit Mykoplasmen wurde 1</w:t>
      </w:r>
      <w:r w:rsidRPr="008C4356">
        <w:rPr>
          <w:w w:val="50"/>
        </w:rPr>
        <w:t> </w:t>
      </w:r>
      <w:r>
        <w:t>ml zentrifugierter und gefilterter T</w:t>
      </w:r>
      <w:r w:rsidRPr="008C4356">
        <w:rPr>
          <w:w w:val="50"/>
        </w:rPr>
        <w:t> </w:t>
      </w:r>
      <w:r>
        <w:t>24 Überstand hinzugegeben, sodass in Summe 6</w:t>
      </w:r>
      <w:r w:rsidRPr="008C4356">
        <w:rPr>
          <w:w w:val="50"/>
        </w:rPr>
        <w:t> </w:t>
      </w:r>
      <w:r>
        <w:t>ml Medium in der T</w:t>
      </w:r>
      <w:r w:rsidRPr="008C4356">
        <w:rPr>
          <w:w w:val="50"/>
        </w:rPr>
        <w:t> </w:t>
      </w:r>
      <w:r>
        <w:t>25 Flasche waren. Zwei Tage später, wurden 5</w:t>
      </w:r>
      <w:r w:rsidRPr="008C4356">
        <w:rPr>
          <w:w w:val="50"/>
        </w:rPr>
        <w:t> </w:t>
      </w:r>
      <w:r>
        <w:t>ml des alten Mediums abgenommen und durch 4</w:t>
      </w:r>
      <w:r w:rsidRPr="008C4356">
        <w:rPr>
          <w:w w:val="50"/>
        </w:rPr>
        <w:t> </w:t>
      </w:r>
      <w:r>
        <w:t>ml frisches KSFM-Medium sowie erneut 1</w:t>
      </w:r>
      <w:r w:rsidRPr="008C4356">
        <w:rPr>
          <w:w w:val="50"/>
        </w:rPr>
        <w:t> </w:t>
      </w:r>
      <w:r>
        <w:t>ml T</w:t>
      </w:r>
      <w:r w:rsidRPr="008C4356">
        <w:rPr>
          <w:w w:val="50"/>
        </w:rPr>
        <w:t> </w:t>
      </w:r>
      <w:r>
        <w:t xml:space="preserve">24-Überstand ersetzt. Danach erfolgte der Wechsel des Mediums wie unter </w:t>
      </w:r>
      <w:r>
        <w:fldChar w:fldCharType="begin"/>
      </w:r>
      <w:r>
        <w:instrText xml:space="preserve"> REF _Ref67390462 \r \h </w:instrText>
      </w:r>
      <w:r>
        <w:fldChar w:fldCharType="separate"/>
      </w:r>
      <w:r w:rsidR="00791554">
        <w:t>2.3.2</w:t>
      </w:r>
      <w:r>
        <w:fldChar w:fldCharType="end"/>
      </w:r>
      <w:r>
        <w:t xml:space="preserve"> beschrieben.</w:t>
      </w:r>
    </w:p>
    <w:p w14:paraId="52BD5B42" w14:textId="77777777" w:rsidR="00C85902" w:rsidRDefault="00C85902" w:rsidP="00CB6D33">
      <w:pPr>
        <w:pStyle w:val="berschrift2"/>
      </w:pPr>
      <w:bookmarkStart w:id="69" w:name="_Ref83893270"/>
      <w:bookmarkStart w:id="70" w:name="_Toc121158657"/>
      <w:r>
        <w:t>RNA-Extraktion, Umschreibung in cDNA und qRT-PCR</w:t>
      </w:r>
      <w:bookmarkEnd w:id="69"/>
      <w:bookmarkEnd w:id="70"/>
    </w:p>
    <w:p w14:paraId="4562D80E" w14:textId="77777777" w:rsidR="00C85902" w:rsidRDefault="00C85902" w:rsidP="00B85FA8">
      <w:pPr>
        <w:pStyle w:val="berschrift3"/>
      </w:pPr>
      <w:bookmarkStart w:id="71" w:name="_Ref69052921"/>
      <w:bookmarkStart w:id="72" w:name="_Ref69052925"/>
      <w:bookmarkStart w:id="73" w:name="_Ref69052980"/>
      <w:bookmarkStart w:id="74" w:name="_Ref69052985"/>
      <w:bookmarkStart w:id="75" w:name="_Ref69052990"/>
      <w:bookmarkStart w:id="76" w:name="_Toc121158658"/>
      <w:r>
        <w:t>RNA-Extraktion</w:t>
      </w:r>
      <w:bookmarkEnd w:id="71"/>
      <w:bookmarkEnd w:id="72"/>
      <w:bookmarkEnd w:id="73"/>
      <w:bookmarkEnd w:id="74"/>
      <w:bookmarkEnd w:id="75"/>
      <w:bookmarkEnd w:id="76"/>
    </w:p>
    <w:p w14:paraId="7C076C32" w14:textId="103D15E9" w:rsidR="00C85902" w:rsidRDefault="00C85902" w:rsidP="00065F43">
      <w:pPr>
        <w:rPr>
          <w:rFonts w:cs="Arial"/>
          <w:color w:val="000000"/>
          <w:szCs w:val="24"/>
        </w:rPr>
      </w:pPr>
      <w:r>
        <w:rPr>
          <w:rFonts w:cs="Arial"/>
          <w:color w:val="000000"/>
          <w:szCs w:val="24"/>
        </w:rPr>
        <w:t xml:space="preserve">Über einen Zeitraum von vier Passagen wurde bei jeder Passage der Zellkulturen RNA für die PCR isoliert. Hierfür wurden die Zellen zunächst wie gewohnt abgelöst, mit PBS verdünnt und zentrifugiert (nach dem unter </w:t>
      </w:r>
      <w:r>
        <w:rPr>
          <w:rFonts w:cs="Arial"/>
          <w:color w:val="000000"/>
          <w:szCs w:val="24"/>
        </w:rPr>
        <w:fldChar w:fldCharType="begin"/>
      </w:r>
      <w:r>
        <w:rPr>
          <w:rFonts w:cs="Arial"/>
          <w:color w:val="000000"/>
          <w:szCs w:val="24"/>
        </w:rPr>
        <w:instrText xml:space="preserve"> REF _Ref67413742 \r \h </w:instrText>
      </w:r>
      <w:r>
        <w:rPr>
          <w:rFonts w:cs="Arial"/>
          <w:color w:val="000000"/>
          <w:szCs w:val="24"/>
        </w:rPr>
      </w:r>
      <w:r>
        <w:rPr>
          <w:rFonts w:cs="Arial"/>
          <w:color w:val="000000"/>
          <w:szCs w:val="24"/>
        </w:rPr>
        <w:fldChar w:fldCharType="separate"/>
      </w:r>
      <w:r w:rsidR="00791554">
        <w:rPr>
          <w:rFonts w:cs="Arial"/>
          <w:color w:val="000000"/>
          <w:szCs w:val="24"/>
        </w:rPr>
        <w:t>2.3.1</w:t>
      </w:r>
      <w:r>
        <w:rPr>
          <w:rFonts w:cs="Arial"/>
          <w:color w:val="000000"/>
          <w:szCs w:val="24"/>
        </w:rPr>
        <w:fldChar w:fldCharType="end"/>
      </w:r>
      <w:r>
        <w:rPr>
          <w:rFonts w:cs="Arial"/>
          <w:color w:val="000000"/>
          <w:szCs w:val="24"/>
        </w:rPr>
        <w:t xml:space="preserve"> beschriebenen Verfahren für Zelllinien und nach dem unter  </w:t>
      </w:r>
      <w:r>
        <w:rPr>
          <w:rFonts w:cs="Arial"/>
          <w:color w:val="000000"/>
          <w:szCs w:val="24"/>
        </w:rPr>
        <w:fldChar w:fldCharType="begin"/>
      </w:r>
      <w:r>
        <w:rPr>
          <w:rFonts w:cs="Arial"/>
          <w:color w:val="000000"/>
          <w:szCs w:val="24"/>
        </w:rPr>
        <w:instrText xml:space="preserve"> REF _Ref67413774 \r \h </w:instrText>
      </w:r>
      <w:r>
        <w:rPr>
          <w:rFonts w:cs="Arial"/>
          <w:color w:val="000000"/>
          <w:szCs w:val="24"/>
        </w:rPr>
      </w:r>
      <w:r>
        <w:rPr>
          <w:rFonts w:cs="Arial"/>
          <w:color w:val="000000"/>
          <w:szCs w:val="24"/>
        </w:rPr>
        <w:fldChar w:fldCharType="separate"/>
      </w:r>
      <w:r w:rsidR="00791554">
        <w:rPr>
          <w:rFonts w:cs="Arial"/>
          <w:color w:val="000000"/>
          <w:szCs w:val="24"/>
        </w:rPr>
        <w:t>2.3.2</w:t>
      </w:r>
      <w:r>
        <w:rPr>
          <w:rFonts w:cs="Arial"/>
          <w:color w:val="000000"/>
          <w:szCs w:val="24"/>
        </w:rPr>
        <w:fldChar w:fldCharType="end"/>
      </w:r>
      <w:r>
        <w:rPr>
          <w:rFonts w:cs="Arial"/>
          <w:color w:val="000000"/>
          <w:szCs w:val="24"/>
        </w:rPr>
        <w:t xml:space="preserve"> </w:t>
      </w:r>
      <w:r w:rsidRPr="00621035">
        <w:rPr>
          <w:rFonts w:cs="Arial"/>
          <w:color w:val="000000"/>
          <w:szCs w:val="24"/>
        </w:rPr>
        <w:t xml:space="preserve"> </w:t>
      </w:r>
      <w:r>
        <w:rPr>
          <w:rFonts w:cs="Arial"/>
          <w:color w:val="000000"/>
          <w:szCs w:val="24"/>
        </w:rPr>
        <w:t>bei Harnleiterzellen). Dann wurde der Überstand mit einer Pipette abgesaugt und das Pellet in 10</w:t>
      </w:r>
      <w:r w:rsidRPr="008C4356">
        <w:rPr>
          <w:w w:val="50"/>
        </w:rPr>
        <w:t> </w:t>
      </w:r>
      <w:r>
        <w:rPr>
          <w:rFonts w:cs="Arial"/>
          <w:color w:val="000000"/>
          <w:szCs w:val="24"/>
        </w:rPr>
        <w:t>ml gekühltem (4</w:t>
      </w:r>
      <w:r w:rsidRPr="008C4356">
        <w:rPr>
          <w:w w:val="50"/>
        </w:rPr>
        <w:t> </w:t>
      </w:r>
      <w:r>
        <w:rPr>
          <w:rFonts w:cs="Arial"/>
          <w:color w:val="000000"/>
          <w:szCs w:val="24"/>
        </w:rPr>
        <w:t>°C) PBS re-suspendiert und erneut bei 1500</w:t>
      </w:r>
      <w:r w:rsidRPr="008C4356">
        <w:rPr>
          <w:w w:val="50"/>
        </w:rPr>
        <w:t> </w:t>
      </w:r>
      <w:r>
        <w:rPr>
          <w:rFonts w:cs="Arial"/>
          <w:color w:val="000000"/>
          <w:szCs w:val="24"/>
        </w:rPr>
        <w:t>rpm für 7 Minuten zentrifugiert. Dann wurde der PBS-Überstand erneut mit einer Pipette entfernt und verworfen und das Pellet mit einer Eppendorf Pipette in 350</w:t>
      </w:r>
      <w:r w:rsidRPr="008C4356">
        <w:rPr>
          <w:w w:val="50"/>
        </w:rPr>
        <w:t> </w:t>
      </w:r>
      <w:r>
        <w:rPr>
          <w:rFonts w:cs="Arial"/>
          <w:color w:val="000000"/>
          <w:szCs w:val="24"/>
        </w:rPr>
        <w:t>µl RLT mit Mercaptoethanol gelöst und dann bei -80</w:t>
      </w:r>
      <w:r w:rsidRPr="008C4356">
        <w:rPr>
          <w:w w:val="50"/>
        </w:rPr>
        <w:t> </w:t>
      </w:r>
      <w:r>
        <w:rPr>
          <w:rFonts w:cs="Arial"/>
          <w:color w:val="000000"/>
          <w:szCs w:val="24"/>
        </w:rPr>
        <w:t xml:space="preserve">°C gelagert. </w:t>
      </w:r>
      <w:r w:rsidRPr="000044DB">
        <w:rPr>
          <w:rFonts w:cs="Arial"/>
          <w:color w:val="000000"/>
          <w:szCs w:val="24"/>
        </w:rPr>
        <w:t>Die RNA</w:t>
      </w:r>
      <w:r>
        <w:rPr>
          <w:rFonts w:cs="Arial"/>
          <w:color w:val="000000"/>
          <w:szCs w:val="24"/>
        </w:rPr>
        <w:t>-</w:t>
      </w:r>
      <w:r w:rsidRPr="000044DB">
        <w:rPr>
          <w:rFonts w:cs="Arial"/>
          <w:color w:val="000000"/>
          <w:szCs w:val="24"/>
        </w:rPr>
        <w:t>Extraktion erfolgte mit einem Reagenzienkit nach Angaben des Herstellers (RNeasy, Qiagen; (</w:t>
      </w:r>
      <w:r>
        <w:rPr>
          <w:rFonts w:cs="Arial"/>
          <w:color w:val="000000"/>
          <w:szCs w:val="24"/>
          <w:highlight w:val="yellow"/>
        </w:rPr>
        <w:fldChar w:fldCharType="begin"/>
      </w:r>
      <w:r>
        <w:rPr>
          <w:rFonts w:cs="Arial"/>
          <w:color w:val="000000"/>
          <w:szCs w:val="24"/>
        </w:rPr>
        <w:instrText xml:space="preserve"> REF _Ref100332803 \h </w:instrText>
      </w:r>
      <w:r>
        <w:rPr>
          <w:rFonts w:cs="Arial"/>
          <w:color w:val="000000"/>
          <w:szCs w:val="24"/>
          <w:highlight w:val="yellow"/>
        </w:rPr>
      </w:r>
      <w:r>
        <w:rPr>
          <w:rFonts w:cs="Arial"/>
          <w:color w:val="000000"/>
          <w:szCs w:val="24"/>
          <w:highlight w:val="yellow"/>
        </w:rPr>
        <w:fldChar w:fldCharType="separate"/>
      </w:r>
      <w:r w:rsidR="00791554">
        <w:t xml:space="preserve">Tabelle </w:t>
      </w:r>
      <w:r w:rsidR="00791554">
        <w:rPr>
          <w:noProof/>
        </w:rPr>
        <w:t>10</w:t>
      </w:r>
      <w:r>
        <w:rPr>
          <w:rFonts w:cs="Arial"/>
          <w:color w:val="000000"/>
          <w:szCs w:val="24"/>
          <w:highlight w:val="yellow"/>
        </w:rPr>
        <w:fldChar w:fldCharType="end"/>
      </w:r>
      <w:r>
        <w:rPr>
          <w:rFonts w:cs="Arial"/>
          <w:color w:val="000000"/>
          <w:szCs w:val="24"/>
        </w:rPr>
        <w:t xml:space="preserve">). Nachdem sämtliche Proben von allen Zelllinien und Harnleitern vorhanden </w:t>
      </w:r>
      <w:r w:rsidRPr="00927BD0">
        <w:rPr>
          <w:rFonts w:cs="Arial"/>
          <w:color w:val="000000"/>
          <w:szCs w:val="24"/>
        </w:rPr>
        <w:t>waren</w:t>
      </w:r>
      <w:r>
        <w:rPr>
          <w:rFonts w:cs="Arial"/>
          <w:color w:val="000000"/>
          <w:szCs w:val="24"/>
        </w:rPr>
        <w:t xml:space="preserve"> und mindestens eine Stunde bei -70</w:t>
      </w:r>
      <w:r w:rsidRPr="008C4356">
        <w:rPr>
          <w:w w:val="50"/>
        </w:rPr>
        <w:t> </w:t>
      </w:r>
      <w:r>
        <w:rPr>
          <w:rFonts w:cs="Arial"/>
          <w:color w:val="000000"/>
          <w:szCs w:val="24"/>
        </w:rPr>
        <w:t>° gelagert waren,</w:t>
      </w:r>
      <w:r w:rsidRPr="00927BD0">
        <w:rPr>
          <w:rFonts w:cs="Arial"/>
          <w:color w:val="000000"/>
          <w:szCs w:val="24"/>
        </w:rPr>
        <w:t xml:space="preserve"> wurde die RNA im ersten Schritt in cDNA umgeschrieben.</w:t>
      </w:r>
    </w:p>
    <w:p w14:paraId="43CEB592" w14:textId="77777777" w:rsidR="00C85902" w:rsidRPr="00C67899" w:rsidRDefault="00C85902" w:rsidP="00065F43">
      <w:pPr>
        <w:rPr>
          <w:rFonts w:cs="Arial"/>
          <w:b/>
          <w:bCs/>
          <w:color w:val="000000"/>
          <w:szCs w:val="24"/>
          <w:u w:val="single"/>
        </w:rPr>
      </w:pPr>
      <w:r w:rsidRPr="00C67899">
        <w:rPr>
          <w:rFonts w:cs="Arial"/>
          <w:b/>
          <w:bCs/>
          <w:color w:val="000000"/>
          <w:szCs w:val="24"/>
          <w:u w:val="single"/>
        </w:rPr>
        <w:t xml:space="preserve">RNA </w:t>
      </w:r>
      <w:r>
        <w:rPr>
          <w:rFonts w:cs="Arial"/>
          <w:b/>
          <w:bCs/>
          <w:color w:val="000000"/>
          <w:szCs w:val="24"/>
          <w:u w:val="single"/>
        </w:rPr>
        <w:t>Aufreinigung durch Chemo-adsorption</w:t>
      </w:r>
      <w:r w:rsidRPr="00C67899">
        <w:rPr>
          <w:rFonts w:cs="Arial"/>
          <w:b/>
          <w:bCs/>
          <w:color w:val="000000"/>
          <w:szCs w:val="24"/>
          <w:u w:val="single"/>
        </w:rPr>
        <w:t>:</w:t>
      </w:r>
    </w:p>
    <w:p w14:paraId="6C18822B" w14:textId="6850C327" w:rsidR="00C85902" w:rsidRDefault="00C85902" w:rsidP="00C67899">
      <w:pPr>
        <w:rPr>
          <w:rFonts w:cs="Arial"/>
        </w:rPr>
      </w:pPr>
      <w:r w:rsidRPr="00927BD0">
        <w:t>Zunächst wurde</w:t>
      </w:r>
      <w:r>
        <w:t xml:space="preserve"> der Arbeitsplatz mit </w:t>
      </w:r>
      <w:r w:rsidRPr="00593176">
        <w:t>RNAway</w:t>
      </w:r>
      <w:r>
        <w:t xml:space="preserve"> gereinigt, um eine Kontamination mit fremder RNA </w:t>
      </w:r>
      <w:r w:rsidRPr="00A72351">
        <w:t>und mit RNasen</w:t>
      </w:r>
      <w:r>
        <w:t xml:space="preserve"> zu vermeiden. Im Folgenden wurde mit den Reagenzien und dem Material aus </w:t>
      </w:r>
      <w:r>
        <w:fldChar w:fldCharType="begin"/>
      </w:r>
      <w:r>
        <w:instrText xml:space="preserve"> REF _Ref100332803 \h </w:instrText>
      </w:r>
      <w:r>
        <w:fldChar w:fldCharType="separate"/>
      </w:r>
      <w:r w:rsidR="00791554">
        <w:t xml:space="preserve">Tabelle </w:t>
      </w:r>
      <w:r w:rsidR="00791554">
        <w:rPr>
          <w:noProof/>
        </w:rPr>
        <w:t>10</w:t>
      </w:r>
      <w:r>
        <w:fldChar w:fldCharType="end"/>
      </w:r>
      <w:r>
        <w:t xml:space="preserve"> gearbeitet. Mit einer Eppendorf Pipette wurden zu jedem Zellextrakt je 350</w:t>
      </w:r>
      <w:r w:rsidRPr="008C4356">
        <w:rPr>
          <w:w w:val="50"/>
        </w:rPr>
        <w:t> </w:t>
      </w:r>
      <w:r>
        <w:rPr>
          <w:rFonts w:cs="Arial"/>
        </w:rPr>
        <w:t>µl 70% Ethanol hinzugegeben. Anschließend wurde jede Probe einzeln, immer mit einer frischen 1</w:t>
      </w:r>
      <w:r w:rsidRPr="008C4356">
        <w:rPr>
          <w:w w:val="50"/>
        </w:rPr>
        <w:t> </w:t>
      </w:r>
      <w:r>
        <w:rPr>
          <w:rFonts w:cs="Arial"/>
        </w:rPr>
        <w:t>ml Spritze mit Kanüle, mehrfach aufgezogen und ausgestoßen, sodass die Zellen homogenisiert wurden und die RNA frei wurde. Dann wurde mit derselben Spritze die gesamte Menge auf eine Mini Spin Column übertragen, welche bereits in einem 2</w:t>
      </w:r>
      <w:r w:rsidRPr="008C4356">
        <w:rPr>
          <w:w w:val="50"/>
        </w:rPr>
        <w:t> </w:t>
      </w:r>
      <w:r>
        <w:rPr>
          <w:rFonts w:cs="Arial"/>
        </w:rPr>
        <w:t xml:space="preserve">ml Collection Tube steckte. </w:t>
      </w:r>
    </w:p>
    <w:p w14:paraId="0346AD8D" w14:textId="77777777" w:rsidR="00C85902" w:rsidRPr="00C67899" w:rsidRDefault="00C85902" w:rsidP="00593176">
      <w:pPr>
        <w:rPr>
          <w:rFonts w:cs="Arial"/>
        </w:rPr>
      </w:pPr>
      <w:r>
        <w:rPr>
          <w:rFonts w:cs="Arial"/>
        </w:rPr>
        <w:t>Nachdem so alle Proben einzeln auf ihre Säulen übertragen wurden, folgte die erste Zentrifugation bei 10000</w:t>
      </w:r>
      <w:r w:rsidRPr="008C4356">
        <w:rPr>
          <w:w w:val="50"/>
        </w:rPr>
        <w:t> </w:t>
      </w:r>
      <w:r>
        <w:rPr>
          <w:rFonts w:cs="Arial"/>
        </w:rPr>
        <w:t>rpm für 15</w:t>
      </w:r>
      <w:r w:rsidRPr="008C4356">
        <w:rPr>
          <w:w w:val="50"/>
        </w:rPr>
        <w:t> </w:t>
      </w:r>
      <w:r>
        <w:rPr>
          <w:rFonts w:cs="Arial"/>
        </w:rPr>
        <w:t>Sekunden. Die Zentrifuge wurde bei jeder Nutzung austariert. Der Durchfluss, der sich nach diesem Prozess im 2</w:t>
      </w:r>
      <w:r w:rsidRPr="008C4356">
        <w:rPr>
          <w:w w:val="50"/>
        </w:rPr>
        <w:t> </w:t>
      </w:r>
      <w:r>
        <w:rPr>
          <w:rFonts w:cs="Arial"/>
        </w:rPr>
        <w:t>ml Collection Tube befand, wurde entfernt und im nächsten Schritt wurde auf die Säulen der Proben jeweils 350</w:t>
      </w:r>
      <w:r w:rsidRPr="008C4356">
        <w:rPr>
          <w:w w:val="50"/>
        </w:rPr>
        <w:t> </w:t>
      </w:r>
      <w:r>
        <w:rPr>
          <w:rFonts w:cs="Arial"/>
        </w:rPr>
        <w:t>µl RW1 hinzugegeben und es folgte die zweite Zentrifugation wieder bei 10000</w:t>
      </w:r>
      <w:r w:rsidRPr="008C4356">
        <w:rPr>
          <w:w w:val="50"/>
        </w:rPr>
        <w:t> </w:t>
      </w:r>
      <w:r>
        <w:rPr>
          <w:rFonts w:cs="Arial"/>
        </w:rPr>
        <w:t xml:space="preserve">rpm für </w:t>
      </w:r>
      <w:r w:rsidRPr="0043613A">
        <w:rPr>
          <w:rFonts w:cs="Arial"/>
        </w:rPr>
        <w:t>15 Sekunden. Auch nach diesem Schritt wurde der Durchfluss verworfen. Dann w</w:t>
      </w:r>
      <w:r>
        <w:rPr>
          <w:rFonts w:cs="Arial"/>
        </w:rPr>
        <w:t>urde mit einer Eppendorf Pipette 80</w:t>
      </w:r>
      <w:r w:rsidRPr="008C4356">
        <w:rPr>
          <w:w w:val="50"/>
        </w:rPr>
        <w:t> </w:t>
      </w:r>
      <w:r>
        <w:rPr>
          <w:rFonts w:cs="Arial"/>
        </w:rPr>
        <w:t>µl DNase auf jede Säule übertragen und es folgte eine 15-minütige Inkubation bei Raumtemperatur. Nach dieser Zeit wurden jeder Säule 350</w:t>
      </w:r>
      <w:r w:rsidRPr="008C4356">
        <w:rPr>
          <w:w w:val="50"/>
        </w:rPr>
        <w:t> </w:t>
      </w:r>
      <w:r>
        <w:rPr>
          <w:rFonts w:cs="Arial"/>
        </w:rPr>
        <w:t>µl RW1 hinzugegeben und die Proben wurden erneut bei 10000</w:t>
      </w:r>
      <w:r w:rsidRPr="008C4356">
        <w:rPr>
          <w:w w:val="50"/>
        </w:rPr>
        <w:t> </w:t>
      </w:r>
      <w:r>
        <w:rPr>
          <w:rFonts w:cs="Arial"/>
        </w:rPr>
        <w:t>rpm für eine Dauer von 15 Sekunden zentrifugiert. Nun wurden die Säulen auf die 2</w:t>
      </w:r>
      <w:r w:rsidRPr="008C4356">
        <w:rPr>
          <w:w w:val="50"/>
        </w:rPr>
        <w:t> </w:t>
      </w:r>
      <w:r>
        <w:rPr>
          <w:rFonts w:cs="Arial"/>
        </w:rPr>
        <w:t>ml Zentrifugationsröhrchen (sog. Collection Tubes) umgesteckt und die Säulen mit jeweils 500</w:t>
      </w:r>
      <w:r w:rsidRPr="008C4356">
        <w:rPr>
          <w:w w:val="50"/>
        </w:rPr>
        <w:t> </w:t>
      </w:r>
      <w:r>
        <w:rPr>
          <w:rFonts w:cs="Arial"/>
        </w:rPr>
        <w:t>µl RPE zweimal gewaschen. Nach der ersten Zugabe wurde 15 Sekunden und bei der zweiten 2 Minuten bei 10000</w:t>
      </w:r>
      <w:r w:rsidRPr="008C4356">
        <w:rPr>
          <w:w w:val="50"/>
        </w:rPr>
        <w:t> </w:t>
      </w:r>
      <w:r>
        <w:rPr>
          <w:rFonts w:cs="Arial"/>
        </w:rPr>
        <w:t>rpm zentrifugiert. Der Durchfluss wurde nach jeder Zentrifugation verworfen. Abschließend wurden die Säulen nochmals 15 Sekunden diesmal aber ohne Waschzusatz zentrifugiert. Die Säulen wurden nach diesem Schritt auf das 1,5</w:t>
      </w:r>
      <w:r w:rsidRPr="008C4356">
        <w:rPr>
          <w:w w:val="50"/>
        </w:rPr>
        <w:t> </w:t>
      </w:r>
      <w:r>
        <w:rPr>
          <w:rFonts w:cs="Arial"/>
        </w:rPr>
        <w:t>ml Collection Tube mit Deckel umgesetzt und jede Säule wurde mit einer Pipette mit 40</w:t>
      </w:r>
      <w:r w:rsidRPr="008C4356">
        <w:rPr>
          <w:w w:val="50"/>
        </w:rPr>
        <w:t> </w:t>
      </w:r>
      <w:r>
        <w:rPr>
          <w:rFonts w:cs="Arial"/>
        </w:rPr>
        <w:t>µl RNA-freiem Wasser zum Lösen der RNA aus der Säule versetzt und eine Minute inkubieren gelassen. Es folgte die letzte einminütige Zentrifugation bei 10000</w:t>
      </w:r>
      <w:r w:rsidRPr="008C4356">
        <w:rPr>
          <w:w w:val="50"/>
        </w:rPr>
        <w:t> </w:t>
      </w:r>
      <w:r>
        <w:rPr>
          <w:rFonts w:cs="Arial"/>
        </w:rPr>
        <w:t>rpm. Danach konnte die Säule verworfen und die nun isolierte RNA auf Eis gelagert werden.</w:t>
      </w:r>
    </w:p>
    <w:p w14:paraId="497CAC80" w14:textId="002CF61F" w:rsidR="00C85902" w:rsidRPr="00BE3F19" w:rsidRDefault="00C85902" w:rsidP="00C67899">
      <w:pPr>
        <w:pStyle w:val="Beschriftung"/>
        <w:keepNext/>
        <w:rPr>
          <w:vanish/>
          <w:specVanish/>
        </w:rPr>
      </w:pPr>
      <w:bookmarkStart w:id="77" w:name="_Ref100332803"/>
      <w:bookmarkStart w:id="78" w:name="_Toc120649852"/>
      <w:r>
        <w:t xml:space="preserve">Tabelle </w:t>
      </w:r>
      <w:r>
        <w:fldChar w:fldCharType="begin"/>
      </w:r>
      <w:r>
        <w:instrText xml:space="preserve"> SEQ Tabelle \* ARABIC </w:instrText>
      </w:r>
      <w:r>
        <w:fldChar w:fldCharType="separate"/>
      </w:r>
      <w:r w:rsidR="00791554">
        <w:rPr>
          <w:noProof/>
        </w:rPr>
        <w:t>10</w:t>
      </w:r>
      <w:r>
        <w:rPr>
          <w:noProof/>
        </w:rPr>
        <w:fldChar w:fldCharType="end"/>
      </w:r>
      <w:bookmarkEnd w:id="77"/>
      <w:r>
        <w:t xml:space="preserve"> </w:t>
      </w:r>
      <w:r w:rsidRPr="006773E6">
        <w:t>Reagenzien und Material für die RNA</w:t>
      </w:r>
      <w:r>
        <w:t>-</w:t>
      </w:r>
      <w:r w:rsidRPr="006773E6">
        <w:t>Extraktion</w:t>
      </w:r>
      <w:bookmarkEnd w:id="78"/>
      <w:r>
        <w:t xml:space="preserve"> </w:t>
      </w:r>
    </w:p>
    <w:p w14:paraId="4EF27FC5" w14:textId="77777777" w:rsidR="00C85902" w:rsidRDefault="00C85902" w:rsidP="00C67899">
      <w:pPr>
        <w:pStyle w:val="Beschriftung"/>
        <w:keepNext/>
      </w:pPr>
      <w:r>
        <w:t xml:space="preserve"> </w:t>
      </w:r>
      <w:r>
        <w:br/>
        <w:t>In dieser Tabelle sind Reagenzien zur Durchführung der RNA-Extraktion inklusive der Hersteller aufgeführt.</w:t>
      </w:r>
    </w:p>
    <w:tbl>
      <w:tblPr>
        <w:tblStyle w:val="Tabellenraster"/>
        <w:tblW w:w="0" w:type="auto"/>
        <w:tblLook w:val="04A0" w:firstRow="1" w:lastRow="0" w:firstColumn="1" w:lastColumn="0" w:noHBand="0" w:noVBand="1"/>
      </w:tblPr>
      <w:tblGrid>
        <w:gridCol w:w="3510"/>
        <w:gridCol w:w="4867"/>
      </w:tblGrid>
      <w:tr w:rsidR="00C85902" w14:paraId="7544A95C" w14:textId="77777777" w:rsidTr="00A00D57">
        <w:trPr>
          <w:trHeight w:val="194"/>
        </w:trPr>
        <w:tc>
          <w:tcPr>
            <w:tcW w:w="3510" w:type="dxa"/>
            <w:shd w:val="clear" w:color="auto" w:fill="E7E6E6" w:themeFill="background2"/>
          </w:tcPr>
          <w:p w14:paraId="481C8E2B" w14:textId="77777777" w:rsidR="00C85902" w:rsidRPr="00A93217" w:rsidRDefault="00C85902" w:rsidP="00A93217">
            <w:pPr>
              <w:spacing w:line="240" w:lineRule="auto"/>
              <w:jc w:val="center"/>
              <w:rPr>
                <w:rFonts w:cs="Arial"/>
                <w:b/>
                <w:bCs/>
                <w:sz w:val="20"/>
                <w:szCs w:val="20"/>
              </w:rPr>
            </w:pPr>
            <w:r w:rsidRPr="00A93217">
              <w:rPr>
                <w:rFonts w:cs="Arial"/>
                <w:b/>
                <w:bCs/>
                <w:sz w:val="20"/>
                <w:szCs w:val="20"/>
              </w:rPr>
              <w:t>Name</w:t>
            </w:r>
          </w:p>
        </w:tc>
        <w:tc>
          <w:tcPr>
            <w:tcW w:w="4867" w:type="dxa"/>
            <w:shd w:val="clear" w:color="auto" w:fill="E7E6E6" w:themeFill="background2"/>
          </w:tcPr>
          <w:p w14:paraId="0A86ED27" w14:textId="77777777" w:rsidR="00C85902" w:rsidRPr="00A93217" w:rsidRDefault="00C85902" w:rsidP="00A93217">
            <w:pPr>
              <w:spacing w:line="240" w:lineRule="auto"/>
              <w:jc w:val="center"/>
              <w:rPr>
                <w:rFonts w:cs="Arial"/>
                <w:b/>
                <w:bCs/>
                <w:sz w:val="20"/>
              </w:rPr>
            </w:pPr>
            <w:r w:rsidRPr="00A93217">
              <w:rPr>
                <w:rFonts w:cs="Arial"/>
                <w:b/>
                <w:bCs/>
                <w:sz w:val="20"/>
              </w:rPr>
              <w:t>Hersteller</w:t>
            </w:r>
          </w:p>
        </w:tc>
      </w:tr>
      <w:tr w:rsidR="00C85902" w14:paraId="00EEF779" w14:textId="77777777" w:rsidTr="00A00D57">
        <w:trPr>
          <w:trHeight w:val="180"/>
        </w:trPr>
        <w:tc>
          <w:tcPr>
            <w:tcW w:w="3510" w:type="dxa"/>
            <w:tcBorders>
              <w:bottom w:val="single" w:sz="4" w:space="0" w:color="auto"/>
            </w:tcBorders>
          </w:tcPr>
          <w:p w14:paraId="66223777" w14:textId="77777777" w:rsidR="00C85902" w:rsidRPr="00A93217" w:rsidRDefault="00C85902" w:rsidP="00A93217">
            <w:pPr>
              <w:spacing w:line="240" w:lineRule="auto"/>
              <w:rPr>
                <w:rFonts w:cs="Arial"/>
                <w:color w:val="000000"/>
                <w:sz w:val="20"/>
                <w:szCs w:val="20"/>
              </w:rPr>
            </w:pPr>
            <w:r w:rsidRPr="00A93217">
              <w:rPr>
                <w:rFonts w:cs="Arial"/>
                <w:color w:val="000000"/>
                <w:sz w:val="20"/>
                <w:szCs w:val="20"/>
              </w:rPr>
              <w:t>70% Ethanol</w:t>
            </w:r>
          </w:p>
        </w:tc>
        <w:tc>
          <w:tcPr>
            <w:tcW w:w="4867" w:type="dxa"/>
            <w:tcBorders>
              <w:bottom w:val="single" w:sz="4" w:space="0" w:color="auto"/>
            </w:tcBorders>
          </w:tcPr>
          <w:p w14:paraId="49B6B29C" w14:textId="77777777" w:rsidR="00C85902" w:rsidRPr="00A93217" w:rsidRDefault="00C85902" w:rsidP="00A93217">
            <w:pPr>
              <w:spacing w:line="240" w:lineRule="auto"/>
              <w:jc w:val="center"/>
              <w:rPr>
                <w:rFonts w:cs="Arial"/>
                <w:sz w:val="20"/>
              </w:rPr>
            </w:pPr>
            <w:r w:rsidRPr="00A93217">
              <w:rPr>
                <w:rFonts w:cs="Arial"/>
                <w:sz w:val="20"/>
              </w:rPr>
              <w:t>Sigma-Aldrich</w:t>
            </w:r>
          </w:p>
        </w:tc>
      </w:tr>
      <w:tr w:rsidR="00C85902" w:rsidRPr="00600BBD" w14:paraId="338ADEA0" w14:textId="77777777" w:rsidTr="00A00D57">
        <w:trPr>
          <w:trHeight w:val="569"/>
        </w:trPr>
        <w:tc>
          <w:tcPr>
            <w:tcW w:w="3510" w:type="dxa"/>
            <w:tcBorders>
              <w:bottom w:val="nil"/>
            </w:tcBorders>
          </w:tcPr>
          <w:p w14:paraId="6A98868A" w14:textId="77777777" w:rsidR="00C85902" w:rsidRPr="00A00D57" w:rsidRDefault="00C85902" w:rsidP="009D19C9">
            <w:pPr>
              <w:spacing w:line="240" w:lineRule="auto"/>
              <w:rPr>
                <w:rFonts w:cs="Arial"/>
                <w:sz w:val="20"/>
                <w:szCs w:val="20"/>
                <w:lang w:val="en-GB"/>
              </w:rPr>
            </w:pPr>
            <w:r w:rsidRPr="00A00D57">
              <w:rPr>
                <w:rFonts w:cs="Arial"/>
                <w:color w:val="000000"/>
                <w:sz w:val="20"/>
                <w:szCs w:val="20"/>
                <w:lang w:val="en-GB"/>
              </w:rPr>
              <w:t>RLT Mercaptoethanol</w:t>
            </w:r>
            <w:r>
              <w:rPr>
                <w:rFonts w:cs="Arial"/>
                <w:color w:val="000000"/>
                <w:sz w:val="20"/>
                <w:szCs w:val="20"/>
                <w:lang w:val="en-GB"/>
              </w:rPr>
              <w:br/>
            </w:r>
            <w:r w:rsidRPr="00A00D57">
              <w:rPr>
                <w:rFonts w:cs="Arial"/>
                <w:color w:val="000000"/>
                <w:sz w:val="20"/>
                <w:szCs w:val="20"/>
                <w:lang w:val="en-GB"/>
              </w:rPr>
              <w:t>RW1 Wash B</w:t>
            </w:r>
            <w:r>
              <w:rPr>
                <w:rFonts w:cs="Arial"/>
                <w:color w:val="000000"/>
                <w:sz w:val="20"/>
                <w:szCs w:val="20"/>
                <w:lang w:val="en-GB"/>
              </w:rPr>
              <w:t>uffer</w:t>
            </w:r>
          </w:p>
        </w:tc>
        <w:tc>
          <w:tcPr>
            <w:tcW w:w="4867" w:type="dxa"/>
            <w:vMerge w:val="restart"/>
          </w:tcPr>
          <w:p w14:paraId="786E5511" w14:textId="77777777" w:rsidR="00C85902" w:rsidRPr="009D19C9" w:rsidRDefault="00C85902" w:rsidP="00A93217">
            <w:pPr>
              <w:spacing w:line="240" w:lineRule="auto"/>
              <w:jc w:val="center"/>
              <w:rPr>
                <w:rFonts w:cs="Arial"/>
                <w:sz w:val="20"/>
                <w:lang w:val="en-GB"/>
              </w:rPr>
            </w:pPr>
            <w:r w:rsidRPr="009D19C9">
              <w:rPr>
                <w:rFonts w:cs="Arial"/>
                <w:sz w:val="20"/>
                <w:lang w:val="en-GB"/>
              </w:rPr>
              <w:t>A</w:t>
            </w:r>
            <w:r>
              <w:rPr>
                <w:rFonts w:cs="Arial"/>
                <w:sz w:val="20"/>
                <w:lang w:val="en-GB"/>
              </w:rPr>
              <w:t>ppliChem REF A3380100</w:t>
            </w:r>
          </w:p>
          <w:p w14:paraId="3BC258EC" w14:textId="77777777" w:rsidR="00C85902" w:rsidRDefault="00C85902" w:rsidP="00A00D57">
            <w:pPr>
              <w:spacing w:line="240" w:lineRule="auto"/>
              <w:jc w:val="center"/>
              <w:rPr>
                <w:rFonts w:cs="Arial"/>
                <w:sz w:val="20"/>
                <w:lang w:val="en-GB"/>
              </w:rPr>
            </w:pPr>
          </w:p>
          <w:p w14:paraId="29DA375E" w14:textId="77777777" w:rsidR="00C85902" w:rsidRPr="009D19C9" w:rsidRDefault="00C85902" w:rsidP="00A00D57">
            <w:pPr>
              <w:spacing w:line="240" w:lineRule="auto"/>
              <w:jc w:val="center"/>
              <w:rPr>
                <w:rFonts w:cs="Arial"/>
                <w:sz w:val="20"/>
                <w:lang w:val="en-GB"/>
              </w:rPr>
            </w:pPr>
            <w:r>
              <w:rPr>
                <w:rFonts w:cs="Arial"/>
                <w:sz w:val="20"/>
                <w:lang w:val="en-GB"/>
              </w:rPr>
              <w:br/>
            </w:r>
            <w:r w:rsidRPr="009D19C9">
              <w:rPr>
                <w:rFonts w:cs="Arial"/>
                <w:sz w:val="20"/>
                <w:lang w:val="en-GB"/>
              </w:rPr>
              <w:t xml:space="preserve">RNA Mini Kit </w:t>
            </w:r>
            <w:r w:rsidRPr="009D19C9">
              <w:rPr>
                <w:rFonts w:cs="Arial"/>
                <w:sz w:val="20"/>
                <w:lang w:val="en-GB"/>
              </w:rPr>
              <w:br/>
              <w:t xml:space="preserve">Qiagen </w:t>
            </w:r>
            <w:r w:rsidRPr="00A00D57">
              <w:rPr>
                <w:rFonts w:cs="Arial"/>
                <w:sz w:val="20"/>
                <w:vertAlign w:val="superscript"/>
                <w:lang w:val="en-GB"/>
              </w:rPr>
              <w:t>®</w:t>
            </w:r>
            <w:r w:rsidRPr="009D19C9">
              <w:rPr>
                <w:rFonts w:cs="Arial"/>
                <w:sz w:val="20"/>
                <w:lang w:val="en-GB"/>
              </w:rPr>
              <w:t xml:space="preserve"> REF 74106</w:t>
            </w:r>
            <w:r>
              <w:rPr>
                <w:rFonts w:cs="Arial"/>
                <w:sz w:val="20"/>
                <w:lang w:val="en-GB"/>
              </w:rPr>
              <w:br/>
            </w:r>
            <w:r>
              <w:rPr>
                <w:rFonts w:cs="Arial"/>
                <w:sz w:val="20"/>
                <w:lang w:val="en-GB"/>
              </w:rPr>
              <w:br/>
            </w:r>
            <w:r>
              <w:rPr>
                <w:rFonts w:cs="Arial"/>
                <w:sz w:val="20"/>
                <w:lang w:val="en-GB"/>
              </w:rPr>
              <w:br/>
            </w:r>
            <w:r>
              <w:rPr>
                <w:rFonts w:cs="Arial"/>
                <w:sz w:val="20"/>
                <w:lang w:val="en-GB"/>
              </w:rPr>
              <w:br/>
            </w:r>
          </w:p>
        </w:tc>
      </w:tr>
      <w:tr w:rsidR="00C85902" w14:paraId="49D0C916" w14:textId="77777777" w:rsidTr="00A00D57">
        <w:trPr>
          <w:trHeight w:val="50"/>
        </w:trPr>
        <w:tc>
          <w:tcPr>
            <w:tcW w:w="3510" w:type="dxa"/>
          </w:tcPr>
          <w:p w14:paraId="718B72EB" w14:textId="77777777" w:rsidR="00C85902" w:rsidRPr="00A93217" w:rsidRDefault="00C85902" w:rsidP="009D19C9">
            <w:pPr>
              <w:spacing w:line="240" w:lineRule="auto"/>
              <w:rPr>
                <w:rFonts w:cs="Arial"/>
                <w:sz w:val="20"/>
                <w:szCs w:val="20"/>
              </w:rPr>
            </w:pPr>
            <w:r w:rsidRPr="00A93217">
              <w:rPr>
                <w:rFonts w:cs="Arial"/>
                <w:color w:val="000000"/>
                <w:sz w:val="20"/>
                <w:szCs w:val="20"/>
                <w:lang w:val="en-GB"/>
              </w:rPr>
              <w:t xml:space="preserve">Buffer </w:t>
            </w:r>
            <w:r w:rsidRPr="00A00D57">
              <w:rPr>
                <w:rFonts w:cs="Arial"/>
                <w:color w:val="000000"/>
                <w:sz w:val="20"/>
                <w:szCs w:val="20"/>
                <w:lang w:val="en-GB"/>
              </w:rPr>
              <w:t>RPE</w:t>
            </w:r>
            <w:r w:rsidRPr="00A93217">
              <w:rPr>
                <w:rFonts w:cs="Arial"/>
                <w:color w:val="000000"/>
                <w:sz w:val="20"/>
                <w:szCs w:val="20"/>
                <w:lang w:val="en-GB"/>
              </w:rPr>
              <w:t xml:space="preserve"> Wash buffer</w:t>
            </w:r>
          </w:p>
        </w:tc>
        <w:tc>
          <w:tcPr>
            <w:tcW w:w="4867" w:type="dxa"/>
            <w:vMerge/>
          </w:tcPr>
          <w:p w14:paraId="0DC49690" w14:textId="77777777" w:rsidR="00C85902" w:rsidRPr="00A93217" w:rsidRDefault="00C85902">
            <w:pPr>
              <w:spacing w:line="240" w:lineRule="auto"/>
              <w:jc w:val="center"/>
              <w:rPr>
                <w:rFonts w:cs="Arial"/>
                <w:sz w:val="20"/>
              </w:rPr>
              <w:pPrChange w:id="79" w:author="Wilhelm Aicher" w:date="2022-03-27T16:28:00Z">
                <w:pPr/>
              </w:pPrChange>
            </w:pPr>
          </w:p>
        </w:tc>
      </w:tr>
      <w:tr w:rsidR="00C85902" w14:paraId="7062B177" w14:textId="77777777" w:rsidTr="00A00D57">
        <w:trPr>
          <w:trHeight w:val="263"/>
        </w:trPr>
        <w:tc>
          <w:tcPr>
            <w:tcW w:w="3510" w:type="dxa"/>
          </w:tcPr>
          <w:p w14:paraId="69BF225D" w14:textId="77777777" w:rsidR="00C85902" w:rsidRPr="00A93217" w:rsidRDefault="00C85902" w:rsidP="00A93217">
            <w:pPr>
              <w:spacing w:line="240" w:lineRule="auto"/>
              <w:rPr>
                <w:rFonts w:cs="Arial"/>
                <w:sz w:val="20"/>
                <w:szCs w:val="20"/>
              </w:rPr>
            </w:pPr>
            <w:r w:rsidRPr="00A93217">
              <w:rPr>
                <w:rFonts w:cs="Arial"/>
                <w:color w:val="000000"/>
                <w:sz w:val="20"/>
                <w:szCs w:val="20"/>
              </w:rPr>
              <w:t>RNase Free Water</w:t>
            </w:r>
          </w:p>
        </w:tc>
        <w:tc>
          <w:tcPr>
            <w:tcW w:w="4867" w:type="dxa"/>
            <w:vMerge/>
          </w:tcPr>
          <w:p w14:paraId="64962DAA" w14:textId="77777777" w:rsidR="00C85902" w:rsidRPr="00A93217" w:rsidRDefault="00C85902" w:rsidP="00A93217">
            <w:pPr>
              <w:spacing w:line="240" w:lineRule="auto"/>
              <w:rPr>
                <w:rFonts w:cs="Arial"/>
                <w:sz w:val="20"/>
              </w:rPr>
            </w:pPr>
          </w:p>
        </w:tc>
      </w:tr>
      <w:tr w:rsidR="00C85902" w:rsidRPr="00600BBD" w14:paraId="63705FA3" w14:textId="77777777" w:rsidTr="00A00D57">
        <w:trPr>
          <w:trHeight w:val="158"/>
        </w:trPr>
        <w:tc>
          <w:tcPr>
            <w:tcW w:w="3510" w:type="dxa"/>
          </w:tcPr>
          <w:p w14:paraId="153F12DA" w14:textId="77777777" w:rsidR="00C85902" w:rsidRPr="00A00D57" w:rsidRDefault="00C85902" w:rsidP="00A93217">
            <w:pPr>
              <w:spacing w:line="240" w:lineRule="auto"/>
              <w:rPr>
                <w:rFonts w:cs="Arial"/>
                <w:sz w:val="20"/>
                <w:szCs w:val="20"/>
                <w:lang w:val="en-GB"/>
              </w:rPr>
            </w:pPr>
            <w:r w:rsidRPr="00A93217">
              <w:rPr>
                <w:rFonts w:cs="Arial"/>
                <w:color w:val="000000"/>
                <w:sz w:val="20"/>
                <w:szCs w:val="20"/>
                <w:lang w:val="en-GB"/>
              </w:rPr>
              <w:t>RNeasy Mini Spin Column (Säulen)</w:t>
            </w:r>
          </w:p>
        </w:tc>
        <w:tc>
          <w:tcPr>
            <w:tcW w:w="4867" w:type="dxa"/>
            <w:vMerge/>
          </w:tcPr>
          <w:p w14:paraId="2FC2E8F9" w14:textId="77777777" w:rsidR="00C85902" w:rsidRPr="00A00D57" w:rsidRDefault="00C85902" w:rsidP="00A93217">
            <w:pPr>
              <w:spacing w:line="240" w:lineRule="auto"/>
              <w:rPr>
                <w:rFonts w:cs="Arial"/>
                <w:sz w:val="20"/>
                <w:lang w:val="en-GB"/>
              </w:rPr>
            </w:pPr>
          </w:p>
        </w:tc>
      </w:tr>
      <w:tr w:rsidR="00C85902" w:rsidRPr="0095409A" w14:paraId="3014D499" w14:textId="77777777" w:rsidTr="00A00D57">
        <w:trPr>
          <w:trHeight w:val="143"/>
        </w:trPr>
        <w:tc>
          <w:tcPr>
            <w:tcW w:w="3510" w:type="dxa"/>
          </w:tcPr>
          <w:p w14:paraId="6911DF7B" w14:textId="77777777" w:rsidR="00C85902" w:rsidRPr="00A93217" w:rsidRDefault="00C85902" w:rsidP="00A93217">
            <w:pPr>
              <w:spacing w:line="240" w:lineRule="auto"/>
              <w:rPr>
                <w:rFonts w:cs="Arial"/>
                <w:sz w:val="20"/>
                <w:szCs w:val="20"/>
                <w:lang w:val="en-GB"/>
              </w:rPr>
            </w:pPr>
            <w:r w:rsidRPr="00A93217">
              <w:rPr>
                <w:rFonts w:cs="Arial"/>
                <w:color w:val="000000"/>
                <w:sz w:val="20"/>
                <w:szCs w:val="20"/>
                <w:lang w:val="en-GB"/>
              </w:rPr>
              <w:t>2</w:t>
            </w:r>
            <w:r w:rsidRPr="00A93217">
              <w:rPr>
                <w:w w:val="50"/>
                <w:sz w:val="20"/>
                <w:szCs w:val="20"/>
                <w:lang w:val="en-GB"/>
              </w:rPr>
              <w:t> </w:t>
            </w:r>
            <w:r w:rsidRPr="00A93217">
              <w:rPr>
                <w:rFonts w:cs="Arial"/>
                <w:color w:val="000000"/>
                <w:sz w:val="20"/>
                <w:szCs w:val="20"/>
                <w:lang w:val="en-GB"/>
              </w:rPr>
              <w:t>ml Collection Tubes</w:t>
            </w:r>
          </w:p>
        </w:tc>
        <w:tc>
          <w:tcPr>
            <w:tcW w:w="4867" w:type="dxa"/>
            <w:vMerge/>
          </w:tcPr>
          <w:p w14:paraId="6DB767C5" w14:textId="77777777" w:rsidR="00C85902" w:rsidRPr="00A93217" w:rsidRDefault="00C85902" w:rsidP="00A93217">
            <w:pPr>
              <w:spacing w:line="240" w:lineRule="auto"/>
              <w:rPr>
                <w:rFonts w:cs="Arial"/>
                <w:sz w:val="20"/>
                <w:lang w:val="en-GB"/>
              </w:rPr>
            </w:pPr>
          </w:p>
        </w:tc>
      </w:tr>
      <w:tr w:rsidR="00C85902" w14:paraId="673F7519" w14:textId="77777777" w:rsidTr="00A00D57">
        <w:trPr>
          <w:trHeight w:val="50"/>
        </w:trPr>
        <w:tc>
          <w:tcPr>
            <w:tcW w:w="3510" w:type="dxa"/>
          </w:tcPr>
          <w:p w14:paraId="2A2CB7F1" w14:textId="77777777" w:rsidR="00C85902" w:rsidRPr="00A93217" w:rsidRDefault="00C85902" w:rsidP="00A93217">
            <w:pPr>
              <w:spacing w:line="240" w:lineRule="auto"/>
              <w:rPr>
                <w:rFonts w:cs="Arial"/>
                <w:sz w:val="20"/>
                <w:szCs w:val="20"/>
              </w:rPr>
            </w:pPr>
            <w:r w:rsidRPr="00A93217">
              <w:rPr>
                <w:rFonts w:cs="Arial"/>
                <w:color w:val="000000"/>
                <w:sz w:val="20"/>
                <w:szCs w:val="20"/>
              </w:rPr>
              <w:t>1,5</w:t>
            </w:r>
            <w:r w:rsidRPr="00A93217">
              <w:rPr>
                <w:w w:val="50"/>
                <w:sz w:val="20"/>
                <w:szCs w:val="20"/>
              </w:rPr>
              <w:t> </w:t>
            </w:r>
            <w:r w:rsidRPr="00A93217">
              <w:rPr>
                <w:rFonts w:cs="Arial"/>
                <w:color w:val="000000"/>
                <w:sz w:val="20"/>
                <w:szCs w:val="20"/>
              </w:rPr>
              <w:t>ml Collection Tubes mit Deckel</w:t>
            </w:r>
          </w:p>
        </w:tc>
        <w:tc>
          <w:tcPr>
            <w:tcW w:w="4867" w:type="dxa"/>
            <w:vMerge/>
          </w:tcPr>
          <w:p w14:paraId="10996189" w14:textId="77777777" w:rsidR="00C85902" w:rsidRPr="00A93217" w:rsidRDefault="00C85902" w:rsidP="00A93217">
            <w:pPr>
              <w:spacing w:line="240" w:lineRule="auto"/>
              <w:rPr>
                <w:rFonts w:cs="Arial"/>
                <w:sz w:val="20"/>
              </w:rPr>
            </w:pPr>
          </w:p>
        </w:tc>
      </w:tr>
      <w:tr w:rsidR="00C85902" w14:paraId="75C3A450" w14:textId="77777777" w:rsidTr="00A00D57">
        <w:trPr>
          <w:trHeight w:val="221"/>
        </w:trPr>
        <w:tc>
          <w:tcPr>
            <w:tcW w:w="3510" w:type="dxa"/>
          </w:tcPr>
          <w:p w14:paraId="087C1FFE" w14:textId="77777777" w:rsidR="00C85902" w:rsidRPr="00A93217" w:rsidRDefault="00C85902" w:rsidP="00A93217">
            <w:pPr>
              <w:spacing w:line="240" w:lineRule="auto"/>
              <w:rPr>
                <w:rFonts w:cs="Arial"/>
                <w:color w:val="000000"/>
                <w:sz w:val="20"/>
                <w:szCs w:val="20"/>
              </w:rPr>
            </w:pPr>
            <w:r w:rsidRPr="00A93217">
              <w:rPr>
                <w:rFonts w:cs="Arial"/>
                <w:color w:val="000000"/>
                <w:sz w:val="20"/>
                <w:szCs w:val="20"/>
              </w:rPr>
              <w:t>DNase:</w:t>
            </w:r>
            <w:r w:rsidRPr="00A93217">
              <w:rPr>
                <w:rFonts w:cs="Arial"/>
                <w:color w:val="000000"/>
                <w:sz w:val="20"/>
                <w:szCs w:val="20"/>
              </w:rPr>
              <w:br/>
              <w:t>70</w:t>
            </w:r>
            <w:r w:rsidRPr="00A93217">
              <w:rPr>
                <w:w w:val="50"/>
                <w:sz w:val="20"/>
                <w:szCs w:val="20"/>
              </w:rPr>
              <w:t> </w:t>
            </w:r>
            <w:r w:rsidRPr="00A93217">
              <w:rPr>
                <w:rFonts w:cs="Arial"/>
                <w:color w:val="000000"/>
                <w:sz w:val="20"/>
                <w:szCs w:val="20"/>
              </w:rPr>
              <w:t xml:space="preserve">µl </w:t>
            </w:r>
            <w:r w:rsidRPr="00A00D57">
              <w:rPr>
                <w:rFonts w:cs="Arial"/>
                <w:color w:val="000000"/>
                <w:sz w:val="20"/>
                <w:szCs w:val="20"/>
              </w:rPr>
              <w:t>RDD Buffer</w:t>
            </w:r>
            <w:r w:rsidRPr="00A93217">
              <w:rPr>
                <w:rFonts w:cs="Arial"/>
                <w:color w:val="000000"/>
                <w:sz w:val="20"/>
                <w:szCs w:val="20"/>
              </w:rPr>
              <w:t xml:space="preserve"> mit 10</w:t>
            </w:r>
            <w:r w:rsidRPr="00A93217">
              <w:rPr>
                <w:w w:val="50"/>
                <w:sz w:val="20"/>
                <w:szCs w:val="20"/>
              </w:rPr>
              <w:t> </w:t>
            </w:r>
            <w:r w:rsidRPr="00A93217">
              <w:rPr>
                <w:rFonts w:cs="Arial"/>
                <w:color w:val="000000"/>
                <w:sz w:val="20"/>
                <w:szCs w:val="20"/>
              </w:rPr>
              <w:t>µl Aliquot</w:t>
            </w:r>
          </w:p>
        </w:tc>
        <w:tc>
          <w:tcPr>
            <w:tcW w:w="4867" w:type="dxa"/>
            <w:vMerge/>
          </w:tcPr>
          <w:p w14:paraId="1CE419EF" w14:textId="77777777" w:rsidR="00C85902" w:rsidRPr="00A93217" w:rsidRDefault="00C85902" w:rsidP="00A93217">
            <w:pPr>
              <w:spacing w:line="240" w:lineRule="auto"/>
              <w:rPr>
                <w:rFonts w:cs="Arial"/>
                <w:sz w:val="20"/>
              </w:rPr>
            </w:pPr>
          </w:p>
        </w:tc>
      </w:tr>
    </w:tbl>
    <w:p w14:paraId="6D837DA2" w14:textId="77777777" w:rsidR="00C85902" w:rsidRDefault="00C85902">
      <w:pPr>
        <w:pStyle w:val="Beschriftung"/>
      </w:pPr>
    </w:p>
    <w:p w14:paraId="68779155" w14:textId="77777777" w:rsidR="00C85902" w:rsidRDefault="00C85902" w:rsidP="00B85FA8">
      <w:pPr>
        <w:pStyle w:val="berschrift3"/>
      </w:pPr>
      <w:bookmarkStart w:id="80" w:name="_Toc121158659"/>
      <w:r>
        <w:t xml:space="preserve">Umschreiben </w:t>
      </w:r>
      <w:r w:rsidRPr="00AE3EC8">
        <w:t>der RNA in cDNA</w:t>
      </w:r>
      <w:r>
        <w:t xml:space="preserve"> mittels</w:t>
      </w:r>
      <w:r w:rsidRPr="004D3655">
        <w:t xml:space="preserve"> </w:t>
      </w:r>
      <w:r>
        <w:t>Reverser Transkription</w:t>
      </w:r>
      <w:bookmarkEnd w:id="80"/>
    </w:p>
    <w:p w14:paraId="4E0F4FDB" w14:textId="2CEE4B63" w:rsidR="00C85902" w:rsidRPr="00695321" w:rsidRDefault="00C85902" w:rsidP="00695321">
      <w:pPr>
        <w:rPr>
          <w:rFonts w:cs="Arial"/>
        </w:rPr>
      </w:pPr>
      <w:r>
        <w:rPr>
          <w:rFonts w:cs="Arial"/>
        </w:rPr>
        <w:t xml:space="preserve">Alle Reagenzien aus </w:t>
      </w:r>
      <w:r>
        <w:rPr>
          <w:rFonts w:cs="Arial"/>
        </w:rPr>
        <w:fldChar w:fldCharType="begin"/>
      </w:r>
      <w:r>
        <w:rPr>
          <w:rFonts w:cs="Arial"/>
        </w:rPr>
        <w:instrText xml:space="preserve"> REF _Ref120296461 \h </w:instrText>
      </w:r>
      <w:r>
        <w:rPr>
          <w:rFonts w:cs="Arial"/>
        </w:rPr>
      </w:r>
      <w:r>
        <w:rPr>
          <w:rFonts w:cs="Arial"/>
        </w:rPr>
        <w:fldChar w:fldCharType="separate"/>
      </w:r>
      <w:r w:rsidR="00791554">
        <w:t xml:space="preserve">Tabelle </w:t>
      </w:r>
      <w:r w:rsidR="00791554">
        <w:rPr>
          <w:noProof/>
        </w:rPr>
        <w:t>11</w:t>
      </w:r>
      <w:r>
        <w:rPr>
          <w:rFonts w:cs="Arial"/>
        </w:rPr>
        <w:fldChar w:fldCharType="end"/>
      </w:r>
      <w:r>
        <w:rPr>
          <w:rFonts w:cs="Arial"/>
        </w:rPr>
        <w:t xml:space="preserve"> mussten nach dem Auftauen gevortext, abzentrifugiert und auf Eis gelagert werden. Das UV-Spektralphotometer (</w:t>
      </w:r>
      <w:r w:rsidRPr="002C41F3">
        <w:rPr>
          <w:rFonts w:cs="Arial"/>
        </w:rPr>
        <w:t>Nano</w:t>
      </w:r>
      <w:r>
        <w:rPr>
          <w:rFonts w:cs="Arial"/>
        </w:rPr>
        <w:t>D</w:t>
      </w:r>
      <w:r w:rsidRPr="002C41F3">
        <w:rPr>
          <w:rFonts w:cs="Arial"/>
        </w:rPr>
        <w:t>rop</w:t>
      </w:r>
      <w:r>
        <w:rPr>
          <w:rFonts w:cs="Arial"/>
        </w:rPr>
        <w:t>)</w:t>
      </w:r>
      <w:r w:rsidRPr="002C41F3">
        <w:rPr>
          <w:rFonts w:cs="Arial"/>
        </w:rPr>
        <w:t xml:space="preserve"> </w:t>
      </w:r>
      <w:r>
        <w:rPr>
          <w:rFonts w:cs="Arial"/>
          <w:color w:val="000000" w:themeColor="text1"/>
        </w:rPr>
        <w:t xml:space="preserve">wurde genutzt, um </w:t>
      </w:r>
      <w:r>
        <w:rPr>
          <w:rFonts w:cs="Arial"/>
        </w:rPr>
        <w:t>die Menge an enthaltener RNA zu bestimmen.</w:t>
      </w:r>
    </w:p>
    <w:p w14:paraId="3C776691" w14:textId="5244EEC6" w:rsidR="00C85902" w:rsidRPr="00BE3F19" w:rsidRDefault="00C85902" w:rsidP="00E31E51">
      <w:pPr>
        <w:pStyle w:val="Beschriftung"/>
        <w:keepNext/>
        <w:rPr>
          <w:vanish/>
          <w:specVanish/>
        </w:rPr>
      </w:pPr>
      <w:bookmarkStart w:id="81" w:name="_Ref120296461"/>
      <w:bookmarkStart w:id="82" w:name="_Toc120649853"/>
      <w:r>
        <w:t xml:space="preserve">Tabelle </w:t>
      </w:r>
      <w:r>
        <w:fldChar w:fldCharType="begin"/>
      </w:r>
      <w:r>
        <w:instrText xml:space="preserve"> SEQ Tabelle \* ARABIC </w:instrText>
      </w:r>
      <w:r>
        <w:fldChar w:fldCharType="separate"/>
      </w:r>
      <w:r w:rsidR="00791554">
        <w:rPr>
          <w:noProof/>
        </w:rPr>
        <w:t>11</w:t>
      </w:r>
      <w:r>
        <w:rPr>
          <w:noProof/>
        </w:rPr>
        <w:fldChar w:fldCharType="end"/>
      </w:r>
      <w:bookmarkEnd w:id="81"/>
      <w:r>
        <w:t xml:space="preserve"> </w:t>
      </w:r>
      <w:r w:rsidRPr="001333E6">
        <w:t>Reagenzien für Reverse Transkription</w:t>
      </w:r>
      <w:bookmarkEnd w:id="82"/>
      <w:r>
        <w:t xml:space="preserve"> </w:t>
      </w:r>
    </w:p>
    <w:p w14:paraId="4BA692A1" w14:textId="77777777" w:rsidR="00C85902" w:rsidRDefault="00C85902" w:rsidP="00E31E51">
      <w:pPr>
        <w:pStyle w:val="Beschriftung"/>
        <w:keepNext/>
      </w:pPr>
      <w:r>
        <w:t xml:space="preserve"> </w:t>
      </w:r>
      <w:r>
        <w:br/>
        <w:t xml:space="preserve">In dieser Tabelle sind die Mengen der Substanzen und deren Hersteller für die Reverse Transkription zum Umschreiben von mRNA in cDNA aufgeführt. </w:t>
      </w:r>
    </w:p>
    <w:tbl>
      <w:tblPr>
        <w:tblStyle w:val="Tabellenraster"/>
        <w:tblW w:w="0" w:type="auto"/>
        <w:tblLook w:val="04A0" w:firstRow="1" w:lastRow="0" w:firstColumn="1" w:lastColumn="0" w:noHBand="0" w:noVBand="1"/>
      </w:tblPr>
      <w:tblGrid>
        <w:gridCol w:w="2423"/>
        <w:gridCol w:w="1836"/>
        <w:gridCol w:w="4235"/>
      </w:tblGrid>
      <w:tr w:rsidR="00C85902" w14:paraId="640FBE3C" w14:textId="77777777" w:rsidTr="007C0ECC">
        <w:tc>
          <w:tcPr>
            <w:tcW w:w="2423" w:type="dxa"/>
            <w:shd w:val="clear" w:color="auto" w:fill="E7E6E6" w:themeFill="background2"/>
          </w:tcPr>
          <w:p w14:paraId="50540F0B" w14:textId="77777777" w:rsidR="00C85902" w:rsidRPr="00BE3F19" w:rsidRDefault="00C85902" w:rsidP="00BE3F19">
            <w:pPr>
              <w:spacing w:line="240" w:lineRule="auto"/>
              <w:jc w:val="center"/>
              <w:rPr>
                <w:rFonts w:cs="Arial"/>
                <w:b/>
                <w:bCs/>
                <w:sz w:val="20"/>
                <w:szCs w:val="20"/>
              </w:rPr>
            </w:pPr>
            <w:r w:rsidRPr="00BE3F19">
              <w:rPr>
                <w:rFonts w:cs="Arial"/>
                <w:b/>
                <w:bCs/>
                <w:sz w:val="20"/>
                <w:szCs w:val="20"/>
              </w:rPr>
              <w:t>Menge</w:t>
            </w:r>
          </w:p>
        </w:tc>
        <w:tc>
          <w:tcPr>
            <w:tcW w:w="1836" w:type="dxa"/>
            <w:shd w:val="clear" w:color="auto" w:fill="E7E6E6" w:themeFill="background2"/>
          </w:tcPr>
          <w:p w14:paraId="43D1E9B2" w14:textId="77777777" w:rsidR="00C85902" w:rsidRPr="00BE3F19" w:rsidRDefault="00C85902" w:rsidP="00BE3F19">
            <w:pPr>
              <w:spacing w:line="240" w:lineRule="auto"/>
              <w:jc w:val="center"/>
              <w:rPr>
                <w:rFonts w:cs="Arial"/>
                <w:b/>
                <w:bCs/>
                <w:sz w:val="20"/>
                <w:szCs w:val="20"/>
              </w:rPr>
            </w:pPr>
            <w:r w:rsidRPr="00BE3F19">
              <w:rPr>
                <w:rFonts w:cs="Arial"/>
                <w:b/>
                <w:bCs/>
                <w:sz w:val="20"/>
                <w:szCs w:val="20"/>
              </w:rPr>
              <w:t>Name</w:t>
            </w:r>
          </w:p>
        </w:tc>
        <w:tc>
          <w:tcPr>
            <w:tcW w:w="4235" w:type="dxa"/>
            <w:shd w:val="clear" w:color="auto" w:fill="E7E6E6" w:themeFill="background2"/>
          </w:tcPr>
          <w:p w14:paraId="66FF1D31" w14:textId="77777777" w:rsidR="00C85902" w:rsidRPr="00BE3F19" w:rsidRDefault="00C85902" w:rsidP="00BE3F19">
            <w:pPr>
              <w:spacing w:line="240" w:lineRule="auto"/>
              <w:jc w:val="center"/>
              <w:rPr>
                <w:rFonts w:cs="Arial"/>
                <w:b/>
                <w:bCs/>
                <w:sz w:val="20"/>
                <w:szCs w:val="20"/>
              </w:rPr>
            </w:pPr>
            <w:r w:rsidRPr="00BE3F19">
              <w:rPr>
                <w:rFonts w:cs="Arial"/>
                <w:b/>
                <w:bCs/>
                <w:sz w:val="20"/>
                <w:szCs w:val="20"/>
              </w:rPr>
              <w:t>Hersteller</w:t>
            </w:r>
          </w:p>
        </w:tc>
      </w:tr>
      <w:tr w:rsidR="00C85902" w14:paraId="69EC0C4C" w14:textId="77777777" w:rsidTr="00C67899">
        <w:tc>
          <w:tcPr>
            <w:tcW w:w="2423" w:type="dxa"/>
          </w:tcPr>
          <w:p w14:paraId="4B01F10B" w14:textId="77777777" w:rsidR="00C85902" w:rsidRPr="00BE3F19" w:rsidRDefault="00C85902" w:rsidP="00BE3F19">
            <w:pPr>
              <w:spacing w:line="240" w:lineRule="auto"/>
              <w:rPr>
                <w:rFonts w:cs="Arial"/>
                <w:sz w:val="20"/>
                <w:szCs w:val="20"/>
              </w:rPr>
            </w:pPr>
            <w:r w:rsidRPr="00BE3F19">
              <w:rPr>
                <w:rFonts w:cs="Arial"/>
                <w:sz w:val="20"/>
                <w:szCs w:val="20"/>
                <w:lang w:val="en-GB"/>
              </w:rPr>
              <w:t>1</w:t>
            </w:r>
            <w:r w:rsidRPr="00BE3F19">
              <w:rPr>
                <w:w w:val="50"/>
                <w:sz w:val="20"/>
                <w:szCs w:val="20"/>
                <w:lang w:val="en-GB"/>
              </w:rPr>
              <w:t> </w:t>
            </w:r>
            <w:r w:rsidRPr="00BE3F19">
              <w:rPr>
                <w:rFonts w:cs="Arial"/>
                <w:sz w:val="20"/>
                <w:szCs w:val="20"/>
                <w:lang w:val="en-GB"/>
              </w:rPr>
              <w:t xml:space="preserve">µl pro Probe </w:t>
            </w:r>
          </w:p>
        </w:tc>
        <w:tc>
          <w:tcPr>
            <w:tcW w:w="1836" w:type="dxa"/>
          </w:tcPr>
          <w:p w14:paraId="24890665" w14:textId="77777777" w:rsidR="00C85902" w:rsidRPr="00BE3F19" w:rsidRDefault="00C85902" w:rsidP="00BE3F19">
            <w:pPr>
              <w:spacing w:line="240" w:lineRule="auto"/>
              <w:rPr>
                <w:rFonts w:cs="Arial"/>
                <w:sz w:val="20"/>
                <w:szCs w:val="20"/>
              </w:rPr>
            </w:pPr>
            <w:r w:rsidRPr="00BE3F19">
              <w:rPr>
                <w:rFonts w:cs="Arial"/>
                <w:sz w:val="20"/>
                <w:szCs w:val="20"/>
                <w:lang w:val="en-GB"/>
              </w:rPr>
              <w:t>Oligo dt-Primer</w:t>
            </w:r>
          </w:p>
        </w:tc>
        <w:tc>
          <w:tcPr>
            <w:tcW w:w="4235" w:type="dxa"/>
          </w:tcPr>
          <w:p w14:paraId="37C70A89" w14:textId="77777777" w:rsidR="00C85902" w:rsidRPr="00BE3F19" w:rsidRDefault="00C85902" w:rsidP="009D19C9">
            <w:pPr>
              <w:spacing w:line="240" w:lineRule="auto"/>
              <w:jc w:val="center"/>
              <w:rPr>
                <w:rFonts w:cs="Arial"/>
                <w:sz w:val="20"/>
                <w:szCs w:val="20"/>
              </w:rPr>
            </w:pPr>
            <w:r w:rsidRPr="00BE3F19">
              <w:rPr>
                <w:rFonts w:cs="Arial"/>
                <w:sz w:val="20"/>
                <w:szCs w:val="20"/>
              </w:rPr>
              <w:t>Takara cDNA Synthesekit</w:t>
            </w:r>
          </w:p>
        </w:tc>
      </w:tr>
      <w:tr w:rsidR="00C85902" w14:paraId="71D89BDC" w14:textId="77777777" w:rsidTr="009E4A78">
        <w:tc>
          <w:tcPr>
            <w:tcW w:w="2423" w:type="dxa"/>
          </w:tcPr>
          <w:p w14:paraId="1FA0BA58" w14:textId="77777777" w:rsidR="00C85902" w:rsidRPr="00BE3F19" w:rsidRDefault="00C85902" w:rsidP="00BE3F19">
            <w:pPr>
              <w:spacing w:line="240" w:lineRule="auto"/>
              <w:rPr>
                <w:rFonts w:cs="Arial"/>
                <w:sz w:val="20"/>
                <w:szCs w:val="20"/>
              </w:rPr>
            </w:pPr>
          </w:p>
        </w:tc>
        <w:tc>
          <w:tcPr>
            <w:tcW w:w="1836" w:type="dxa"/>
          </w:tcPr>
          <w:p w14:paraId="741989AC" w14:textId="77777777" w:rsidR="00C85902" w:rsidRPr="00BE3F19" w:rsidRDefault="00C85902" w:rsidP="00BE3F19">
            <w:pPr>
              <w:spacing w:line="240" w:lineRule="auto"/>
              <w:rPr>
                <w:rFonts w:cs="Arial"/>
                <w:sz w:val="20"/>
                <w:szCs w:val="20"/>
              </w:rPr>
            </w:pPr>
            <w:r w:rsidRPr="00BE3F19">
              <w:rPr>
                <w:rFonts w:cs="Arial"/>
                <w:sz w:val="20"/>
                <w:szCs w:val="20"/>
              </w:rPr>
              <w:t>Depc-Water</w:t>
            </w:r>
          </w:p>
        </w:tc>
        <w:tc>
          <w:tcPr>
            <w:tcW w:w="4235" w:type="dxa"/>
          </w:tcPr>
          <w:p w14:paraId="12C3852C" w14:textId="77777777" w:rsidR="00C85902" w:rsidRPr="00BE3F19" w:rsidRDefault="00C85902" w:rsidP="009D19C9">
            <w:pPr>
              <w:spacing w:line="240" w:lineRule="auto"/>
              <w:jc w:val="center"/>
              <w:rPr>
                <w:rFonts w:cs="Arial"/>
                <w:sz w:val="20"/>
                <w:szCs w:val="20"/>
              </w:rPr>
            </w:pPr>
            <w:r w:rsidRPr="00BE3F19">
              <w:rPr>
                <w:rFonts w:cs="Arial"/>
                <w:sz w:val="20"/>
                <w:szCs w:val="20"/>
              </w:rPr>
              <w:t>Takara cDNA Synthesekit</w:t>
            </w:r>
          </w:p>
        </w:tc>
      </w:tr>
      <w:tr w:rsidR="00C85902" w:rsidRPr="00590335" w14:paraId="2C89B807" w14:textId="77777777" w:rsidTr="009E4A78">
        <w:tc>
          <w:tcPr>
            <w:tcW w:w="4259" w:type="dxa"/>
            <w:gridSpan w:val="2"/>
          </w:tcPr>
          <w:p w14:paraId="1DE02D93" w14:textId="77777777" w:rsidR="00C85902" w:rsidRPr="00BE3F19" w:rsidRDefault="00C85902" w:rsidP="00BE3F19">
            <w:pPr>
              <w:spacing w:line="240" w:lineRule="auto"/>
              <w:rPr>
                <w:rFonts w:cs="Arial"/>
                <w:sz w:val="20"/>
                <w:szCs w:val="20"/>
                <w:lang w:val="en-GB"/>
              </w:rPr>
            </w:pPr>
            <w:r w:rsidRPr="00BE3F19">
              <w:rPr>
                <w:rFonts w:cs="Arial"/>
                <w:b/>
                <w:bCs/>
                <w:sz w:val="20"/>
                <w:szCs w:val="20"/>
                <w:u w:val="single"/>
                <w:lang w:val="en-GB"/>
              </w:rPr>
              <w:t>Mastermix pro Probe</w:t>
            </w:r>
            <w:r w:rsidRPr="00BE3F19">
              <w:rPr>
                <w:rFonts w:cs="Arial"/>
                <w:sz w:val="20"/>
                <w:szCs w:val="20"/>
                <w:lang w:val="en-GB"/>
              </w:rPr>
              <w:t>:</w:t>
            </w:r>
            <w:r w:rsidRPr="00BE3F19">
              <w:rPr>
                <w:rFonts w:cs="Arial"/>
                <w:sz w:val="20"/>
                <w:szCs w:val="20"/>
                <w:lang w:val="en-GB"/>
              </w:rPr>
              <w:br/>
              <w:t>-4</w:t>
            </w:r>
            <w:r w:rsidRPr="00BE3F19">
              <w:rPr>
                <w:w w:val="50"/>
                <w:sz w:val="20"/>
                <w:szCs w:val="20"/>
                <w:lang w:val="en-GB"/>
              </w:rPr>
              <w:t> </w:t>
            </w:r>
            <w:r w:rsidRPr="00BE3F19">
              <w:rPr>
                <w:rFonts w:cs="Arial"/>
                <w:sz w:val="20"/>
                <w:szCs w:val="20"/>
                <w:lang w:val="en-GB"/>
              </w:rPr>
              <w:t xml:space="preserve">µl 5x Puffer </w:t>
            </w:r>
            <w:r w:rsidRPr="00BE3F19">
              <w:rPr>
                <w:rFonts w:cs="Arial"/>
                <w:color w:val="FF0000"/>
                <w:sz w:val="20"/>
                <w:szCs w:val="20"/>
                <w:lang w:val="en-GB"/>
              </w:rPr>
              <w:br/>
            </w:r>
            <w:r w:rsidRPr="00BE3F19">
              <w:rPr>
                <w:rFonts w:cs="Arial"/>
                <w:sz w:val="20"/>
                <w:szCs w:val="20"/>
                <w:lang w:val="en-GB"/>
              </w:rPr>
              <w:t>-1</w:t>
            </w:r>
            <w:r w:rsidRPr="00BE3F19">
              <w:rPr>
                <w:w w:val="50"/>
                <w:sz w:val="20"/>
                <w:szCs w:val="20"/>
                <w:lang w:val="en-GB"/>
              </w:rPr>
              <w:t> </w:t>
            </w:r>
            <w:r w:rsidRPr="00BE3F19">
              <w:rPr>
                <w:rFonts w:cs="Arial"/>
                <w:sz w:val="20"/>
                <w:szCs w:val="20"/>
                <w:lang w:val="en-GB"/>
              </w:rPr>
              <w:t>µl dNTP</w:t>
            </w:r>
            <w:r w:rsidRPr="00BE3F19">
              <w:rPr>
                <w:rFonts w:cs="Arial"/>
                <w:color w:val="FF0000"/>
                <w:sz w:val="20"/>
                <w:szCs w:val="20"/>
                <w:lang w:val="en-GB"/>
              </w:rPr>
              <w:t xml:space="preserve"> </w:t>
            </w:r>
            <w:r w:rsidRPr="00BE3F19">
              <w:rPr>
                <w:rFonts w:cs="Arial"/>
                <w:color w:val="FF0000"/>
                <w:sz w:val="20"/>
                <w:szCs w:val="20"/>
                <w:lang w:val="en-GB"/>
              </w:rPr>
              <w:br/>
            </w:r>
            <w:r w:rsidRPr="00BE3F19">
              <w:rPr>
                <w:rFonts w:cs="Arial"/>
                <w:sz w:val="20"/>
                <w:szCs w:val="20"/>
                <w:lang w:val="en-GB"/>
              </w:rPr>
              <w:t>-1</w:t>
            </w:r>
            <w:r w:rsidRPr="00BE3F19">
              <w:rPr>
                <w:w w:val="50"/>
                <w:sz w:val="20"/>
                <w:szCs w:val="20"/>
                <w:lang w:val="en-GB"/>
              </w:rPr>
              <w:t> </w:t>
            </w:r>
            <w:r w:rsidRPr="00BE3F19">
              <w:rPr>
                <w:rFonts w:cs="Arial"/>
                <w:sz w:val="20"/>
                <w:szCs w:val="20"/>
                <w:lang w:val="en-GB"/>
              </w:rPr>
              <w:t>µl AMV reverse Transkriptase</w:t>
            </w:r>
            <w:r w:rsidRPr="00BE3F19">
              <w:rPr>
                <w:rFonts w:cs="Arial"/>
                <w:color w:val="FF0000"/>
                <w:sz w:val="20"/>
                <w:szCs w:val="20"/>
                <w:lang w:val="en-GB"/>
              </w:rPr>
              <w:t xml:space="preserve"> </w:t>
            </w:r>
            <w:r w:rsidRPr="00BE3F19">
              <w:rPr>
                <w:rFonts w:cs="Arial"/>
                <w:color w:val="FF0000"/>
                <w:sz w:val="20"/>
                <w:szCs w:val="20"/>
                <w:lang w:val="en-GB"/>
              </w:rPr>
              <w:br/>
            </w:r>
            <w:r w:rsidRPr="00BE3F19">
              <w:rPr>
                <w:rFonts w:cs="Arial"/>
                <w:sz w:val="20"/>
                <w:szCs w:val="20"/>
                <w:lang w:val="en-GB"/>
              </w:rPr>
              <w:t>-0,5</w:t>
            </w:r>
            <w:r w:rsidRPr="00BE3F19">
              <w:rPr>
                <w:w w:val="50"/>
                <w:sz w:val="20"/>
                <w:szCs w:val="20"/>
                <w:lang w:val="en-GB"/>
              </w:rPr>
              <w:t> </w:t>
            </w:r>
            <w:r w:rsidRPr="00BE3F19">
              <w:rPr>
                <w:rFonts w:cs="Arial"/>
                <w:sz w:val="20"/>
                <w:szCs w:val="20"/>
                <w:lang w:val="en-GB"/>
              </w:rPr>
              <w:t xml:space="preserve">µl RNase Inhibitor </w:t>
            </w:r>
          </w:p>
        </w:tc>
        <w:tc>
          <w:tcPr>
            <w:tcW w:w="4235" w:type="dxa"/>
          </w:tcPr>
          <w:p w14:paraId="3C41348C" w14:textId="77777777" w:rsidR="00C85902" w:rsidRPr="00BE3F19" w:rsidRDefault="00C85902" w:rsidP="009D19C9">
            <w:pPr>
              <w:keepNext/>
              <w:spacing w:line="240" w:lineRule="auto"/>
              <w:jc w:val="center"/>
              <w:rPr>
                <w:rFonts w:cs="Arial"/>
                <w:sz w:val="20"/>
                <w:szCs w:val="20"/>
                <w:lang w:val="en-GB"/>
              </w:rPr>
            </w:pPr>
            <w:r w:rsidRPr="00BE3F19">
              <w:rPr>
                <w:rFonts w:cs="Arial"/>
                <w:sz w:val="20"/>
                <w:szCs w:val="20"/>
              </w:rPr>
              <w:t>Takara cDNA Synthesekit</w:t>
            </w:r>
          </w:p>
        </w:tc>
      </w:tr>
    </w:tbl>
    <w:p w14:paraId="3A659DDD" w14:textId="77777777" w:rsidR="00C85902" w:rsidRPr="00695321" w:rsidRDefault="00C85902" w:rsidP="00695321">
      <w:pPr>
        <w:pStyle w:val="Beschriftung"/>
        <w:rPr>
          <w:rFonts w:cs="Arial"/>
        </w:rPr>
      </w:pPr>
    </w:p>
    <w:p w14:paraId="6765FF66" w14:textId="77777777" w:rsidR="00C85902" w:rsidRDefault="00C85902" w:rsidP="00065F43">
      <w:pPr>
        <w:rPr>
          <w:rFonts w:cs="Arial"/>
        </w:rPr>
      </w:pPr>
      <w:r>
        <w:rPr>
          <w:rFonts w:cs="Arial"/>
        </w:rPr>
        <w:t>Zunächst wurde mit 1</w:t>
      </w:r>
      <w:r w:rsidRPr="008C4356">
        <w:rPr>
          <w:w w:val="50"/>
        </w:rPr>
        <w:t> </w:t>
      </w:r>
      <w:r>
        <w:rPr>
          <w:rFonts w:cs="Arial"/>
        </w:rPr>
        <w:t>µl Ampuwa der Blank bestimmt und dann jeweils der RNA Gehalt von 1</w:t>
      </w:r>
      <w:r w:rsidRPr="008C4356">
        <w:rPr>
          <w:w w:val="50"/>
        </w:rPr>
        <w:t> </w:t>
      </w:r>
      <w:r>
        <w:rPr>
          <w:rFonts w:cs="Arial"/>
        </w:rPr>
        <w:t>µl pro Probe mittels Extinktion bei 260</w:t>
      </w:r>
      <w:r w:rsidRPr="008C4356">
        <w:rPr>
          <w:w w:val="50"/>
        </w:rPr>
        <w:t> </w:t>
      </w:r>
      <w:r>
        <w:rPr>
          <w:rFonts w:cs="Arial"/>
        </w:rPr>
        <w:t xml:space="preserve">nm Wellenlänge gemessen. Das Ergebnis wurde durch das Gerät in </w:t>
      </w:r>
      <w:r w:rsidRPr="000770CC">
        <w:rPr>
          <w:rFonts w:cs="Arial"/>
        </w:rPr>
        <w:t xml:space="preserve">ng/µl angegeben. </w:t>
      </w:r>
      <w:r>
        <w:rPr>
          <w:rFonts w:cs="Arial"/>
        </w:rPr>
        <w:t>Zwischen jeder Probe wurde der Rest der vorherigen Probe mit einem fusselfreien Einmaltuch</w:t>
      </w:r>
      <w:r w:rsidRPr="00DC256B">
        <w:rPr>
          <w:rFonts w:cs="Arial"/>
          <w:color w:val="FF0000"/>
        </w:rPr>
        <w:t xml:space="preserve"> </w:t>
      </w:r>
      <w:r>
        <w:rPr>
          <w:rFonts w:cs="Arial"/>
        </w:rPr>
        <w:t>entfernt, um eine Falschmessung zu verhindern.</w:t>
      </w:r>
    </w:p>
    <w:p w14:paraId="4F03DD45" w14:textId="77777777" w:rsidR="00C85902" w:rsidRDefault="00C85902" w:rsidP="00065F43">
      <w:pPr>
        <w:rPr>
          <w:rFonts w:cs="Arial"/>
        </w:rPr>
      </w:pPr>
      <w:r>
        <w:rPr>
          <w:rFonts w:cs="Arial"/>
        </w:rPr>
        <w:t>Mit den notierten Werten und der folgenden Formel wurde berechnet, mit wieviel µl depc-Water die Proben verdünnt werden mussten, um 1</w:t>
      </w:r>
      <w:r w:rsidRPr="008C4356">
        <w:rPr>
          <w:w w:val="50"/>
        </w:rPr>
        <w:t> </w:t>
      </w:r>
      <w:r>
        <w:rPr>
          <w:rFonts w:cs="Arial"/>
        </w:rPr>
        <w:t xml:space="preserve">µg/ml umzuschreiben. </w:t>
      </w:r>
    </w:p>
    <w:p w14:paraId="624C8B83" w14:textId="77777777" w:rsidR="00C85902" w:rsidRDefault="00C85902" w:rsidP="00065F43">
      <w:pPr>
        <w:rPr>
          <w:rFonts w:cs="Arial"/>
        </w:rPr>
      </w:pPr>
    </w:p>
    <w:p w14:paraId="2D910C90" w14:textId="77777777" w:rsidR="00C85902" w:rsidRPr="007C0ECC" w:rsidRDefault="00C85902" w:rsidP="00065F43">
      <w:pPr>
        <w:rPr>
          <w:rFonts w:eastAsiaTheme="minorEastAsia" w:cs="Arial"/>
          <w:sz w:val="20"/>
          <w:szCs w:val="18"/>
        </w:rPr>
      </w:pPr>
      <m:oMathPara>
        <m:oMath>
          <m:r>
            <w:rPr>
              <w:rFonts w:ascii="Cambria Math" w:hAnsi="Cambria Math" w:cs="Arial"/>
              <w:sz w:val="20"/>
              <w:szCs w:val="18"/>
            </w:rPr>
            <m:t>1000÷x=y (Menge an RNA in µl)</m:t>
          </m:r>
        </m:oMath>
      </m:oMathPara>
    </w:p>
    <w:p w14:paraId="309BC056" w14:textId="77777777" w:rsidR="00C85902" w:rsidRPr="007C0ECC" w:rsidRDefault="00C85902" w:rsidP="00065F43">
      <w:pPr>
        <w:rPr>
          <w:rFonts w:eastAsiaTheme="minorEastAsia" w:cs="Arial"/>
          <w:sz w:val="20"/>
          <w:szCs w:val="18"/>
        </w:rPr>
      </w:pPr>
      <m:oMathPara>
        <m:oMath>
          <m:r>
            <w:rPr>
              <w:rFonts w:ascii="Cambria Math" w:eastAsiaTheme="minorEastAsia" w:hAnsi="Cambria Math" w:cs="Arial"/>
              <w:sz w:val="20"/>
              <w:szCs w:val="18"/>
            </w:rPr>
            <m:t>12,5-y=Menge an Depc-Water in µl</m:t>
          </m:r>
        </m:oMath>
      </m:oMathPara>
    </w:p>
    <w:p w14:paraId="622E7CC8" w14:textId="77777777" w:rsidR="00C85902" w:rsidRPr="007C0ECC" w:rsidRDefault="00C85902" w:rsidP="00065F43">
      <w:pPr>
        <w:rPr>
          <w:rFonts w:eastAsiaTheme="minorEastAsia" w:cs="Arial"/>
          <w:sz w:val="20"/>
          <w:szCs w:val="18"/>
        </w:rPr>
      </w:pPr>
      <m:oMathPara>
        <m:oMath>
          <m:r>
            <w:rPr>
              <w:rFonts w:ascii="Cambria Math" w:eastAsiaTheme="minorEastAsia" w:hAnsi="Cambria Math" w:cs="Arial"/>
              <w:sz w:val="20"/>
              <w:szCs w:val="18"/>
            </w:rPr>
            <m:t>y+z=1µg/µl</m:t>
          </m:r>
        </m:oMath>
      </m:oMathPara>
    </w:p>
    <w:p w14:paraId="2C75E0D2" w14:textId="77777777" w:rsidR="00C85902" w:rsidRPr="009D19C9" w:rsidRDefault="00C85902" w:rsidP="00065F43">
      <w:pPr>
        <w:rPr>
          <w:rFonts w:eastAsiaTheme="minorEastAsia" w:cs="Arial"/>
          <w:sz w:val="20"/>
          <w:szCs w:val="18"/>
        </w:rPr>
      </w:pPr>
      <w:r w:rsidRPr="009D19C9">
        <w:rPr>
          <w:rFonts w:eastAsiaTheme="minorEastAsia" w:cs="Arial"/>
          <w:sz w:val="20"/>
          <w:szCs w:val="18"/>
        </w:rPr>
        <w:t>X= in Nanodrop ermittelter Wert der Probe</w:t>
      </w:r>
      <w:r w:rsidRPr="009D19C9">
        <w:rPr>
          <w:rFonts w:eastAsiaTheme="minorEastAsia" w:cs="Arial"/>
          <w:sz w:val="20"/>
          <w:szCs w:val="18"/>
        </w:rPr>
        <w:br/>
        <w:t>Y= Menge an RNA in µl</w:t>
      </w:r>
    </w:p>
    <w:p w14:paraId="413E9BCD" w14:textId="77777777" w:rsidR="00C85902" w:rsidRPr="000C6692" w:rsidRDefault="00C85902" w:rsidP="00065F43">
      <w:pPr>
        <w:rPr>
          <w:rFonts w:eastAsiaTheme="minorEastAsia" w:cs="Arial"/>
        </w:rPr>
      </w:pPr>
      <w:r w:rsidRPr="004D3655">
        <w:rPr>
          <w:rFonts w:eastAsiaTheme="minorEastAsia" w:cs="Arial"/>
        </w:rPr>
        <w:t>Nun</w:t>
      </w:r>
      <w:r>
        <w:rPr>
          <w:rFonts w:eastAsiaTheme="minorEastAsia" w:cs="Arial"/>
        </w:rPr>
        <w:t xml:space="preserve"> wurde in neuen Zentrifugationsröhrchen für jede Probe das errechnete Verhältnis an RNA und Depc-Water zusammen pipettiert und im Anschluss gevortext und auf Eis gelagert. Danach wurde jeder Probe 1</w:t>
      </w:r>
      <w:r w:rsidRPr="00EC20ED">
        <w:rPr>
          <w:w w:val="50"/>
        </w:rPr>
        <w:t> </w:t>
      </w:r>
      <w:r>
        <w:rPr>
          <w:rFonts w:eastAsiaTheme="minorEastAsia" w:cs="Arial"/>
        </w:rPr>
        <w:t xml:space="preserve">µl oligo-dT Primer hinzugegeben und erneut gevortext und zentrifugiert. </w:t>
      </w:r>
      <w:r w:rsidRPr="000770CC">
        <w:rPr>
          <w:rFonts w:eastAsiaTheme="minorEastAsia" w:cs="Arial"/>
        </w:rPr>
        <w:t>Dann wurden die Proben für die Dauer von zwei</w:t>
      </w:r>
      <w:r>
        <w:rPr>
          <w:w w:val="50"/>
        </w:rPr>
        <w:t xml:space="preserve"> </w:t>
      </w:r>
      <w:r w:rsidRPr="000770CC">
        <w:rPr>
          <w:rFonts w:eastAsiaTheme="minorEastAsia" w:cs="Arial"/>
        </w:rPr>
        <w:t>Minuten bei einer Temperatur von +70</w:t>
      </w:r>
      <w:r w:rsidRPr="000770CC">
        <w:rPr>
          <w:w w:val="50"/>
        </w:rPr>
        <w:t> </w:t>
      </w:r>
      <w:r w:rsidRPr="000770CC">
        <w:rPr>
          <w:rFonts w:eastAsiaTheme="minorEastAsia" w:cs="Arial"/>
        </w:rPr>
        <w:t>°C in den PCR</w:t>
      </w:r>
      <w:r>
        <w:rPr>
          <w:rFonts w:eastAsiaTheme="minorEastAsia" w:cs="Arial"/>
        </w:rPr>
        <w:t>-</w:t>
      </w:r>
      <w:r w:rsidRPr="000770CC">
        <w:rPr>
          <w:rFonts w:eastAsiaTheme="minorEastAsia" w:cs="Arial"/>
        </w:rPr>
        <w:t>Block gestellt</w:t>
      </w:r>
      <w:r>
        <w:rPr>
          <w:rFonts w:eastAsiaTheme="minorEastAsia" w:cs="Arial"/>
        </w:rPr>
        <w:t xml:space="preserve">, um </w:t>
      </w:r>
      <w:r w:rsidRPr="000C6692">
        <w:rPr>
          <w:rFonts w:eastAsiaTheme="minorEastAsia" w:cs="Arial"/>
        </w:rPr>
        <w:t xml:space="preserve">Bereiche mit RNA-RNA-Doppelhelices aufzuschmelzen und eine durchgehende cDNA-Synthese zu ermöglichen. Nach Ablauf der zwei Minuten wurden die Proben wieder auf Eis gestellt und daraufhin wurde in einem separaten Zentrifugationsröhrchen der Mastermix angemischt. </w:t>
      </w:r>
    </w:p>
    <w:p w14:paraId="19EBD434" w14:textId="77777777" w:rsidR="00C85902" w:rsidRPr="004D3655" w:rsidRDefault="00C85902" w:rsidP="004B31E3">
      <w:pPr>
        <w:rPr>
          <w:rFonts w:eastAsiaTheme="minorEastAsia" w:cs="Arial"/>
        </w:rPr>
      </w:pPr>
      <w:r w:rsidRPr="000770CC">
        <w:rPr>
          <w:rFonts w:eastAsiaTheme="minorEastAsia" w:cs="Arial"/>
        </w:rPr>
        <w:t>Jedem Zentrifugationsröhrchen wurden 6,5</w:t>
      </w:r>
      <w:r w:rsidRPr="000770CC">
        <w:rPr>
          <w:w w:val="50"/>
        </w:rPr>
        <w:t> </w:t>
      </w:r>
      <w:r w:rsidRPr="000770CC">
        <w:rPr>
          <w:rFonts w:eastAsiaTheme="minorEastAsia" w:cs="Arial"/>
        </w:rPr>
        <w:t>µl Mastermix hinzugegeben und im Anschluss gründlich gevortext und kurz zentrifugiert, bevor die Proben zügig erneut in den PCR</w:t>
      </w:r>
      <w:r>
        <w:rPr>
          <w:rFonts w:eastAsiaTheme="minorEastAsia" w:cs="Arial"/>
        </w:rPr>
        <w:t>-</w:t>
      </w:r>
      <w:r w:rsidRPr="000770CC">
        <w:rPr>
          <w:rFonts w:eastAsiaTheme="minorEastAsia" w:cs="Arial"/>
        </w:rPr>
        <w:t xml:space="preserve">Block gegeben wurden und die </w:t>
      </w:r>
      <w:r>
        <w:rPr>
          <w:rFonts w:eastAsiaTheme="minorEastAsia" w:cs="Arial"/>
        </w:rPr>
        <w:t>cDNA-Synthese</w:t>
      </w:r>
      <w:r w:rsidRPr="000770CC">
        <w:rPr>
          <w:rFonts w:eastAsiaTheme="minorEastAsia" w:cs="Arial"/>
        </w:rPr>
        <w:t xml:space="preserve"> für die Dauer von 67</w:t>
      </w:r>
      <w:r w:rsidRPr="000770CC">
        <w:rPr>
          <w:w w:val="50"/>
        </w:rPr>
        <w:t> </w:t>
      </w:r>
      <w:r w:rsidRPr="000770CC">
        <w:rPr>
          <w:rFonts w:eastAsiaTheme="minorEastAsia" w:cs="Arial"/>
        </w:rPr>
        <w:t>Minuten bei 42</w:t>
      </w:r>
      <w:r w:rsidRPr="000770CC">
        <w:rPr>
          <w:w w:val="50"/>
        </w:rPr>
        <w:t> </w:t>
      </w:r>
      <w:r w:rsidRPr="000770CC">
        <w:rPr>
          <w:rFonts w:eastAsiaTheme="minorEastAsia" w:cs="Arial"/>
        </w:rPr>
        <w:t>°C stattfand</w:t>
      </w:r>
      <w:r>
        <w:rPr>
          <w:rFonts w:eastAsiaTheme="minorEastAsia" w:cs="Arial"/>
        </w:rPr>
        <w:t>. Nach Ablauf der Zeit wurden die Proben erneut auf Eis gelagert und jeder Probe 80</w:t>
      </w:r>
      <w:r w:rsidRPr="004B31E3">
        <w:rPr>
          <w:w w:val="50"/>
        </w:rPr>
        <w:t> </w:t>
      </w:r>
      <w:r>
        <w:rPr>
          <w:rFonts w:eastAsiaTheme="minorEastAsia" w:cs="Arial"/>
        </w:rPr>
        <w:t>µl Depc Water hinzugegeben, sodass sich in Summe in jedem Zentrifugationsröhrchen nun 100</w:t>
      </w:r>
      <w:r w:rsidRPr="004B31E3">
        <w:rPr>
          <w:w w:val="50"/>
        </w:rPr>
        <w:t> </w:t>
      </w:r>
      <w:r>
        <w:rPr>
          <w:rFonts w:eastAsiaTheme="minorEastAsia" w:cs="Arial"/>
        </w:rPr>
        <w:t>µl befinden. Die cDNA-Proben wurden bis zur PCR bei -20</w:t>
      </w:r>
      <w:r w:rsidRPr="004B31E3">
        <w:rPr>
          <w:w w:val="50"/>
        </w:rPr>
        <w:t> </w:t>
      </w:r>
      <w:r>
        <w:rPr>
          <w:rFonts w:eastAsiaTheme="minorEastAsia" w:cs="Arial"/>
        </w:rPr>
        <w:t>°C gelagert, während die restliche RNA jeder Probe als Reserve bei -80</w:t>
      </w:r>
      <w:r w:rsidRPr="004B31E3">
        <w:rPr>
          <w:w w:val="50"/>
        </w:rPr>
        <w:t> </w:t>
      </w:r>
      <w:r>
        <w:rPr>
          <w:rFonts w:eastAsiaTheme="minorEastAsia" w:cs="Arial"/>
        </w:rPr>
        <w:t>°C aufbewahrt wurde.</w:t>
      </w:r>
    </w:p>
    <w:p w14:paraId="0738825F" w14:textId="77777777" w:rsidR="00C85902" w:rsidRPr="00A31E14" w:rsidRDefault="00C85902" w:rsidP="00CE3889">
      <w:pPr>
        <w:pStyle w:val="berschrift3"/>
      </w:pPr>
      <w:bookmarkStart w:id="83" w:name="_Toc121158660"/>
      <w:r>
        <w:t>qRT-</w:t>
      </w:r>
      <w:r w:rsidRPr="00A31E14">
        <w:t>PCR</w:t>
      </w:r>
      <w:bookmarkEnd w:id="83"/>
    </w:p>
    <w:p w14:paraId="1DEE21D3" w14:textId="2743127B" w:rsidR="00C85902" w:rsidRPr="00384896" w:rsidRDefault="00C85902" w:rsidP="00695321">
      <w:r>
        <w:t xml:space="preserve">Für die PCR wurden zunächst alle in </w:t>
      </w:r>
      <w:r w:rsidR="006B7C0A">
        <w:fldChar w:fldCharType="begin"/>
      </w:r>
      <w:r w:rsidR="006B7C0A">
        <w:instrText xml:space="preserve"> REF _Ref120441452 \h </w:instrText>
      </w:r>
      <w:r w:rsidR="006B7C0A">
        <w:fldChar w:fldCharType="separate"/>
      </w:r>
      <w:r w:rsidR="00791554">
        <w:t xml:space="preserve">Tabelle </w:t>
      </w:r>
      <w:r w:rsidR="00791554">
        <w:rPr>
          <w:noProof/>
        </w:rPr>
        <w:t>12</w:t>
      </w:r>
      <w:r w:rsidR="006B7C0A">
        <w:fldChar w:fldCharType="end"/>
      </w:r>
      <w:r w:rsidR="006B7C0A">
        <w:t xml:space="preserve"> </w:t>
      </w:r>
      <w:r>
        <w:t>aufgeführten Substanzen und Proben aufgetaut, gevortext, abzentrifugiert und auf Eis gelagert. In sterilen Zentrifugationsröhrchen wurden danach die Mastermixe hergestellt.</w:t>
      </w:r>
    </w:p>
    <w:p w14:paraId="53944EAD" w14:textId="0441B038" w:rsidR="00C85902" w:rsidRPr="00BE3F19" w:rsidRDefault="00C85902" w:rsidP="00A21E45">
      <w:pPr>
        <w:pStyle w:val="Beschriftung"/>
        <w:keepNext/>
        <w:rPr>
          <w:vanish/>
          <w:specVanish/>
        </w:rPr>
      </w:pPr>
      <w:bookmarkStart w:id="84" w:name="_Ref120441452"/>
      <w:bookmarkStart w:id="85" w:name="_Toc120649854"/>
      <w:r>
        <w:t xml:space="preserve">Tabelle </w:t>
      </w:r>
      <w:r>
        <w:fldChar w:fldCharType="begin"/>
      </w:r>
      <w:r>
        <w:instrText xml:space="preserve"> SEQ Tabelle \* ARABIC </w:instrText>
      </w:r>
      <w:r>
        <w:fldChar w:fldCharType="separate"/>
      </w:r>
      <w:r w:rsidR="00791554">
        <w:rPr>
          <w:noProof/>
        </w:rPr>
        <w:t>12</w:t>
      </w:r>
      <w:r>
        <w:rPr>
          <w:noProof/>
        </w:rPr>
        <w:fldChar w:fldCharType="end"/>
      </w:r>
      <w:bookmarkEnd w:id="84"/>
      <w:r>
        <w:t xml:space="preserve"> </w:t>
      </w:r>
      <w:r w:rsidRPr="006B7796">
        <w:t>Reagenzien für Mastermixe der PCR</w:t>
      </w:r>
      <w:bookmarkEnd w:id="85"/>
    </w:p>
    <w:p w14:paraId="7B9B376F" w14:textId="77777777" w:rsidR="00C85902" w:rsidRDefault="00C85902" w:rsidP="00A21E45">
      <w:pPr>
        <w:pStyle w:val="Beschriftung"/>
        <w:keepNext/>
      </w:pPr>
      <w:r>
        <w:br/>
        <w:t xml:space="preserve"> In dieser Tabelle sind die Menge der Substanzen und deren Herstelle zur Herstellung des Mastermix für die qRT-PCR aufgeführt.</w:t>
      </w:r>
    </w:p>
    <w:tbl>
      <w:tblPr>
        <w:tblStyle w:val="Tabellenraster"/>
        <w:tblW w:w="0" w:type="auto"/>
        <w:tblLook w:val="04A0" w:firstRow="1" w:lastRow="0" w:firstColumn="1" w:lastColumn="0" w:noHBand="0" w:noVBand="1"/>
      </w:tblPr>
      <w:tblGrid>
        <w:gridCol w:w="1734"/>
        <w:gridCol w:w="4186"/>
        <w:gridCol w:w="2574"/>
      </w:tblGrid>
      <w:tr w:rsidR="00C85902" w14:paraId="0D144B03" w14:textId="77777777" w:rsidTr="009D19C9">
        <w:tc>
          <w:tcPr>
            <w:tcW w:w="1734" w:type="dxa"/>
            <w:shd w:val="clear" w:color="auto" w:fill="E7E6E6" w:themeFill="background2"/>
          </w:tcPr>
          <w:p w14:paraId="0CAA8F72" w14:textId="77777777" w:rsidR="00C85902" w:rsidRPr="00BE3F19" w:rsidRDefault="00C85902" w:rsidP="00BE3F19">
            <w:pPr>
              <w:spacing w:line="240" w:lineRule="auto"/>
              <w:jc w:val="center"/>
              <w:rPr>
                <w:b/>
                <w:bCs/>
                <w:sz w:val="20"/>
                <w:szCs w:val="20"/>
              </w:rPr>
            </w:pPr>
            <w:r w:rsidRPr="00BE3F19">
              <w:rPr>
                <w:b/>
                <w:bCs/>
                <w:sz w:val="20"/>
                <w:szCs w:val="20"/>
              </w:rPr>
              <w:t>Menge</w:t>
            </w:r>
          </w:p>
        </w:tc>
        <w:tc>
          <w:tcPr>
            <w:tcW w:w="4186" w:type="dxa"/>
            <w:shd w:val="clear" w:color="auto" w:fill="E7E6E6" w:themeFill="background2"/>
          </w:tcPr>
          <w:p w14:paraId="064DAE1B" w14:textId="77777777" w:rsidR="00C85902" w:rsidRPr="00BE3F19" w:rsidRDefault="00C85902" w:rsidP="00BE3F19">
            <w:pPr>
              <w:spacing w:line="240" w:lineRule="auto"/>
              <w:jc w:val="center"/>
              <w:rPr>
                <w:b/>
                <w:bCs/>
                <w:sz w:val="20"/>
                <w:szCs w:val="20"/>
              </w:rPr>
            </w:pPr>
            <w:r w:rsidRPr="00BE3F19">
              <w:rPr>
                <w:b/>
                <w:bCs/>
                <w:sz w:val="20"/>
                <w:szCs w:val="20"/>
              </w:rPr>
              <w:t>Name</w:t>
            </w:r>
          </w:p>
        </w:tc>
        <w:tc>
          <w:tcPr>
            <w:tcW w:w="2574" w:type="dxa"/>
            <w:shd w:val="clear" w:color="auto" w:fill="E7E6E6" w:themeFill="background2"/>
          </w:tcPr>
          <w:p w14:paraId="6D1D034B" w14:textId="77777777" w:rsidR="00C85902" w:rsidRPr="00BE3F19" w:rsidRDefault="00C85902" w:rsidP="009D19C9">
            <w:pPr>
              <w:spacing w:line="240" w:lineRule="auto"/>
              <w:jc w:val="center"/>
              <w:rPr>
                <w:b/>
                <w:bCs/>
                <w:sz w:val="20"/>
                <w:szCs w:val="20"/>
              </w:rPr>
            </w:pPr>
            <w:r w:rsidRPr="00BE3F19">
              <w:rPr>
                <w:b/>
                <w:bCs/>
                <w:sz w:val="20"/>
                <w:szCs w:val="20"/>
              </w:rPr>
              <w:t>Hersteller</w:t>
            </w:r>
          </w:p>
        </w:tc>
      </w:tr>
      <w:tr w:rsidR="00C85902" w14:paraId="4BE9D54B" w14:textId="77777777" w:rsidTr="00BE3F19">
        <w:tc>
          <w:tcPr>
            <w:tcW w:w="1734" w:type="dxa"/>
          </w:tcPr>
          <w:p w14:paraId="5E8E61D1" w14:textId="77777777" w:rsidR="00C85902" w:rsidRPr="00BE3F19" w:rsidRDefault="00C85902" w:rsidP="00BE3F19">
            <w:pPr>
              <w:spacing w:line="240" w:lineRule="auto"/>
              <w:rPr>
                <w:sz w:val="20"/>
                <w:szCs w:val="20"/>
              </w:rPr>
            </w:pPr>
            <w:r w:rsidRPr="00BE3F19">
              <w:rPr>
                <w:sz w:val="20"/>
                <w:szCs w:val="20"/>
              </w:rPr>
              <w:t>2</w:t>
            </w:r>
            <w:r w:rsidRPr="00BE3F19">
              <w:rPr>
                <w:w w:val="50"/>
                <w:sz w:val="20"/>
                <w:szCs w:val="20"/>
              </w:rPr>
              <w:t> </w:t>
            </w:r>
            <w:r w:rsidRPr="00BE3F19">
              <w:rPr>
                <w:rFonts w:cs="Arial"/>
                <w:sz w:val="20"/>
                <w:szCs w:val="20"/>
              </w:rPr>
              <w:t xml:space="preserve">µl </w:t>
            </w:r>
          </w:p>
        </w:tc>
        <w:tc>
          <w:tcPr>
            <w:tcW w:w="4186" w:type="dxa"/>
          </w:tcPr>
          <w:p w14:paraId="174B83D1" w14:textId="77777777" w:rsidR="00C85902" w:rsidRPr="00BE3F19" w:rsidRDefault="00C85902" w:rsidP="00BE3F19">
            <w:pPr>
              <w:spacing w:line="240" w:lineRule="auto"/>
              <w:rPr>
                <w:sz w:val="20"/>
                <w:szCs w:val="20"/>
              </w:rPr>
            </w:pPr>
            <w:r w:rsidRPr="00BE3F19">
              <w:rPr>
                <w:sz w:val="20"/>
                <w:szCs w:val="20"/>
              </w:rPr>
              <w:t>cDNA pro Probe</w:t>
            </w:r>
          </w:p>
        </w:tc>
        <w:tc>
          <w:tcPr>
            <w:tcW w:w="2574" w:type="dxa"/>
          </w:tcPr>
          <w:p w14:paraId="470CAA30" w14:textId="77777777" w:rsidR="00C85902" w:rsidRPr="00BE3F19" w:rsidRDefault="00C85902" w:rsidP="009D19C9">
            <w:pPr>
              <w:spacing w:line="240" w:lineRule="auto"/>
              <w:jc w:val="center"/>
              <w:rPr>
                <w:sz w:val="20"/>
                <w:szCs w:val="20"/>
              </w:rPr>
            </w:pPr>
          </w:p>
        </w:tc>
      </w:tr>
      <w:tr w:rsidR="00C85902" w:rsidRPr="0095010A" w14:paraId="1E98EA12" w14:textId="77777777" w:rsidTr="00BE3F19">
        <w:trPr>
          <w:trHeight w:val="4400"/>
        </w:trPr>
        <w:tc>
          <w:tcPr>
            <w:tcW w:w="5920" w:type="dxa"/>
            <w:gridSpan w:val="2"/>
          </w:tcPr>
          <w:p w14:paraId="64A880A0" w14:textId="77777777" w:rsidR="00C85902" w:rsidRPr="00BE3F19" w:rsidRDefault="00C85902" w:rsidP="00BE3F19">
            <w:pPr>
              <w:spacing w:line="240" w:lineRule="auto"/>
              <w:rPr>
                <w:sz w:val="18"/>
                <w:szCs w:val="18"/>
                <w:highlight w:val="yellow"/>
              </w:rPr>
            </w:pPr>
            <w:r w:rsidRPr="00BE3F19">
              <w:rPr>
                <w:b/>
                <w:bCs/>
                <w:sz w:val="18"/>
                <w:szCs w:val="18"/>
                <w:u w:val="single"/>
              </w:rPr>
              <w:t>Material Mastermix pro Probe</w:t>
            </w:r>
            <w:r w:rsidRPr="00BE3F19">
              <w:rPr>
                <w:sz w:val="18"/>
                <w:szCs w:val="18"/>
              </w:rPr>
              <w:t>:</w:t>
            </w:r>
          </w:p>
          <w:p w14:paraId="2F5B66EC" w14:textId="77777777" w:rsidR="00C85902" w:rsidRPr="00BE3F19" w:rsidRDefault="00C85902" w:rsidP="00BE3F19">
            <w:pPr>
              <w:pStyle w:val="Listenabsatz"/>
              <w:numPr>
                <w:ilvl w:val="0"/>
                <w:numId w:val="5"/>
              </w:numPr>
              <w:spacing w:line="240" w:lineRule="auto"/>
              <w:rPr>
                <w:sz w:val="18"/>
                <w:szCs w:val="18"/>
              </w:rPr>
            </w:pPr>
            <w:r w:rsidRPr="00BE3F19">
              <w:rPr>
                <w:sz w:val="18"/>
                <w:szCs w:val="18"/>
              </w:rPr>
              <w:t>6</w:t>
            </w:r>
            <w:r w:rsidRPr="00BE3F19">
              <w:rPr>
                <w:w w:val="50"/>
                <w:sz w:val="18"/>
                <w:szCs w:val="18"/>
              </w:rPr>
              <w:t> </w:t>
            </w:r>
            <w:r w:rsidRPr="00BE3F19">
              <w:rPr>
                <w:rFonts w:cs="Arial"/>
                <w:sz w:val="18"/>
                <w:szCs w:val="18"/>
              </w:rPr>
              <w:t xml:space="preserve">µl </w:t>
            </w:r>
            <w:r w:rsidRPr="00BE3F19">
              <w:rPr>
                <w:sz w:val="18"/>
                <w:szCs w:val="18"/>
              </w:rPr>
              <w:t>NTW</w:t>
            </w:r>
          </w:p>
          <w:p w14:paraId="60883BAE" w14:textId="77777777" w:rsidR="00C85902" w:rsidRPr="00BE3F19" w:rsidRDefault="00C85902" w:rsidP="00BE3F19">
            <w:pPr>
              <w:pStyle w:val="Listenabsatz"/>
              <w:numPr>
                <w:ilvl w:val="0"/>
                <w:numId w:val="5"/>
              </w:numPr>
              <w:spacing w:line="240" w:lineRule="auto"/>
              <w:rPr>
                <w:sz w:val="18"/>
                <w:szCs w:val="18"/>
              </w:rPr>
            </w:pPr>
            <w:r w:rsidRPr="00BE3F19">
              <w:rPr>
                <w:sz w:val="18"/>
                <w:szCs w:val="18"/>
              </w:rPr>
              <w:t>10</w:t>
            </w:r>
            <w:r w:rsidRPr="00BE3F19">
              <w:rPr>
                <w:w w:val="50"/>
                <w:sz w:val="18"/>
                <w:szCs w:val="18"/>
              </w:rPr>
              <w:t> </w:t>
            </w:r>
            <w:r w:rsidRPr="00BE3F19">
              <w:rPr>
                <w:rFonts w:cs="Arial"/>
                <w:sz w:val="18"/>
                <w:szCs w:val="18"/>
              </w:rPr>
              <w:t xml:space="preserve">µl </w:t>
            </w:r>
            <w:r w:rsidRPr="00BE3F19">
              <w:rPr>
                <w:sz w:val="18"/>
                <w:szCs w:val="18"/>
              </w:rPr>
              <w:t>Sybrgreen</w:t>
            </w:r>
          </w:p>
          <w:p w14:paraId="65667B25" w14:textId="77777777" w:rsidR="00C85902" w:rsidRPr="00BE3F19" w:rsidRDefault="00C85902" w:rsidP="00BE3F19">
            <w:pPr>
              <w:pStyle w:val="Listenabsatz"/>
              <w:numPr>
                <w:ilvl w:val="0"/>
                <w:numId w:val="5"/>
              </w:numPr>
              <w:spacing w:line="240" w:lineRule="auto"/>
              <w:rPr>
                <w:sz w:val="18"/>
                <w:szCs w:val="18"/>
              </w:rPr>
            </w:pPr>
            <w:r w:rsidRPr="00BE3F19">
              <w:rPr>
                <w:sz w:val="18"/>
                <w:szCs w:val="18"/>
              </w:rPr>
              <w:t>2</w:t>
            </w:r>
            <w:r w:rsidRPr="00BE3F19">
              <w:rPr>
                <w:w w:val="50"/>
                <w:sz w:val="18"/>
                <w:szCs w:val="18"/>
              </w:rPr>
              <w:t> </w:t>
            </w:r>
            <w:r w:rsidRPr="00BE3F19">
              <w:rPr>
                <w:rFonts w:cs="Arial"/>
                <w:sz w:val="18"/>
                <w:szCs w:val="18"/>
              </w:rPr>
              <w:t xml:space="preserve">µl </w:t>
            </w:r>
            <w:r w:rsidRPr="00BE3F19">
              <w:rPr>
                <w:sz w:val="18"/>
                <w:szCs w:val="18"/>
              </w:rPr>
              <w:t>Primer (pro Mastermix nur ein Primer):</w:t>
            </w:r>
            <w:r w:rsidRPr="00BE3F19">
              <w:rPr>
                <w:sz w:val="18"/>
                <w:szCs w:val="18"/>
              </w:rPr>
              <w:br/>
              <w:t>- CD276 (Efficiency 1,775)</w:t>
            </w:r>
            <w:r w:rsidRPr="00BE3F19">
              <w:rPr>
                <w:sz w:val="18"/>
                <w:szCs w:val="18"/>
              </w:rPr>
              <w:br/>
              <w:t>FORWARD Sequence:</w:t>
            </w:r>
            <w:r w:rsidRPr="00BE3F19">
              <w:rPr>
                <w:sz w:val="18"/>
                <w:szCs w:val="18"/>
              </w:rPr>
              <w:br/>
              <w:t>TTTCCTTTCCCCTCCTTCCTCC</w:t>
            </w:r>
            <w:r w:rsidRPr="00BE3F19">
              <w:rPr>
                <w:sz w:val="18"/>
                <w:szCs w:val="18"/>
              </w:rPr>
              <w:br/>
              <w:t>REVERSE Sequence:</w:t>
            </w:r>
            <w:r w:rsidRPr="00BE3F19">
              <w:rPr>
                <w:sz w:val="18"/>
                <w:szCs w:val="18"/>
              </w:rPr>
              <w:br/>
              <w:t>TGTGACCAGCACATGCTTCC</w:t>
            </w:r>
            <w:r w:rsidRPr="00BE3F19">
              <w:rPr>
                <w:sz w:val="18"/>
                <w:szCs w:val="18"/>
              </w:rPr>
              <w:br/>
            </w:r>
            <w:r w:rsidRPr="00BE3F19">
              <w:rPr>
                <w:sz w:val="18"/>
                <w:szCs w:val="18"/>
              </w:rPr>
              <w:br/>
              <w:t>- GAPDH (Efficiency 1,66)</w:t>
            </w:r>
            <w:r w:rsidRPr="00BE3F19">
              <w:rPr>
                <w:sz w:val="18"/>
                <w:szCs w:val="18"/>
              </w:rPr>
              <w:br/>
              <w:t>FORWARD Sequence:</w:t>
            </w:r>
            <w:r w:rsidRPr="00BE3F19">
              <w:rPr>
                <w:sz w:val="18"/>
                <w:szCs w:val="18"/>
              </w:rPr>
              <w:br/>
              <w:t>GAGTCAACGGATTTGGTCGT</w:t>
            </w:r>
            <w:r w:rsidRPr="00BE3F19">
              <w:rPr>
                <w:sz w:val="18"/>
                <w:szCs w:val="18"/>
              </w:rPr>
              <w:br/>
              <w:t>REVERSE Sequence:</w:t>
            </w:r>
            <w:r w:rsidRPr="00BE3F19">
              <w:rPr>
                <w:sz w:val="18"/>
                <w:szCs w:val="18"/>
              </w:rPr>
              <w:br/>
              <w:t>TTGATTTTGGAGGGATCTCG</w:t>
            </w:r>
            <w:r w:rsidRPr="00BE3F19">
              <w:rPr>
                <w:sz w:val="18"/>
                <w:szCs w:val="18"/>
              </w:rPr>
              <w:br/>
            </w:r>
            <w:r w:rsidRPr="00BE3F19">
              <w:rPr>
                <w:sz w:val="18"/>
                <w:szCs w:val="18"/>
              </w:rPr>
              <w:br/>
              <w:t>- ß-Aktin (Efficiency 1,915)</w:t>
            </w:r>
            <w:r w:rsidRPr="00BE3F19">
              <w:rPr>
                <w:sz w:val="18"/>
                <w:szCs w:val="18"/>
              </w:rPr>
              <w:br/>
              <w:t>FORWARD Sequence:</w:t>
            </w:r>
            <w:r w:rsidRPr="00BE3F19">
              <w:rPr>
                <w:sz w:val="18"/>
                <w:szCs w:val="18"/>
              </w:rPr>
              <w:br/>
              <w:t>AACTGGGACGACATGGAGAA</w:t>
            </w:r>
            <w:r w:rsidRPr="00BE3F19">
              <w:rPr>
                <w:sz w:val="18"/>
                <w:szCs w:val="18"/>
              </w:rPr>
              <w:br/>
              <w:t>REVERSE Sequence:</w:t>
            </w:r>
            <w:r w:rsidRPr="00BE3F19">
              <w:rPr>
                <w:sz w:val="18"/>
                <w:szCs w:val="18"/>
              </w:rPr>
              <w:br/>
              <w:t>ATACCCCTCGTAGATGGGCA</w:t>
            </w:r>
          </w:p>
        </w:tc>
        <w:tc>
          <w:tcPr>
            <w:tcW w:w="2574" w:type="dxa"/>
          </w:tcPr>
          <w:p w14:paraId="278F1ABA" w14:textId="77777777" w:rsidR="00C85902" w:rsidRPr="00BE3F19" w:rsidRDefault="00C85902" w:rsidP="009D19C9">
            <w:pPr>
              <w:spacing w:line="240" w:lineRule="auto"/>
              <w:jc w:val="center"/>
              <w:rPr>
                <w:sz w:val="18"/>
                <w:szCs w:val="18"/>
              </w:rPr>
            </w:pPr>
            <w:r w:rsidRPr="00BE3F19">
              <w:rPr>
                <w:sz w:val="18"/>
                <w:szCs w:val="18"/>
              </w:rPr>
              <w:br/>
            </w:r>
            <w:r w:rsidRPr="00BE3F19">
              <w:rPr>
                <w:sz w:val="18"/>
                <w:szCs w:val="18"/>
              </w:rPr>
              <w:br/>
              <w:t>Roche REF 04887352001</w:t>
            </w:r>
            <w:r w:rsidRPr="00BE3F19">
              <w:rPr>
                <w:sz w:val="18"/>
                <w:szCs w:val="18"/>
              </w:rPr>
              <w:br/>
            </w:r>
            <w:r w:rsidRPr="00BE3F19">
              <w:rPr>
                <w:sz w:val="18"/>
                <w:szCs w:val="18"/>
              </w:rPr>
              <w:br/>
            </w:r>
            <w:r w:rsidRPr="00BE3F19">
              <w:rPr>
                <w:sz w:val="18"/>
                <w:szCs w:val="18"/>
              </w:rPr>
              <w:br/>
              <w:t>Eurofins</w:t>
            </w:r>
            <w:r w:rsidRPr="00BE3F19">
              <w:rPr>
                <w:sz w:val="18"/>
                <w:szCs w:val="18"/>
              </w:rPr>
              <w:br/>
            </w:r>
          </w:p>
          <w:p w14:paraId="380114B5" w14:textId="77777777" w:rsidR="00C85902" w:rsidRPr="00BE3F19" w:rsidRDefault="00C85902" w:rsidP="009D19C9">
            <w:pPr>
              <w:spacing w:line="240" w:lineRule="auto"/>
              <w:jc w:val="center"/>
              <w:rPr>
                <w:sz w:val="18"/>
                <w:szCs w:val="18"/>
              </w:rPr>
            </w:pPr>
          </w:p>
          <w:p w14:paraId="1C843401" w14:textId="77777777" w:rsidR="00C85902" w:rsidRPr="00BE3F19" w:rsidRDefault="00C85902" w:rsidP="009D19C9">
            <w:pPr>
              <w:spacing w:line="240" w:lineRule="auto"/>
              <w:jc w:val="center"/>
              <w:rPr>
                <w:sz w:val="18"/>
                <w:szCs w:val="18"/>
              </w:rPr>
            </w:pPr>
          </w:p>
          <w:p w14:paraId="16CBD272" w14:textId="77777777" w:rsidR="00C85902" w:rsidRPr="00BE3F19" w:rsidRDefault="00C85902" w:rsidP="009D19C9">
            <w:pPr>
              <w:spacing w:line="240" w:lineRule="auto"/>
              <w:jc w:val="center"/>
              <w:rPr>
                <w:sz w:val="18"/>
                <w:szCs w:val="18"/>
              </w:rPr>
            </w:pPr>
          </w:p>
          <w:p w14:paraId="24552F37" w14:textId="77777777" w:rsidR="00C85902" w:rsidRPr="00BE3F19" w:rsidRDefault="00C85902" w:rsidP="009D19C9">
            <w:pPr>
              <w:spacing w:line="240" w:lineRule="auto"/>
              <w:jc w:val="center"/>
              <w:rPr>
                <w:sz w:val="18"/>
                <w:szCs w:val="18"/>
              </w:rPr>
            </w:pPr>
            <w:r w:rsidRPr="00BE3F19">
              <w:rPr>
                <w:sz w:val="18"/>
                <w:szCs w:val="18"/>
              </w:rPr>
              <w:br/>
            </w:r>
          </w:p>
          <w:p w14:paraId="7301159D" w14:textId="77777777" w:rsidR="00C85902" w:rsidRPr="00BE3F19" w:rsidRDefault="00C85902" w:rsidP="009D19C9">
            <w:pPr>
              <w:spacing w:line="240" w:lineRule="auto"/>
              <w:jc w:val="center"/>
              <w:rPr>
                <w:sz w:val="18"/>
                <w:szCs w:val="18"/>
              </w:rPr>
            </w:pPr>
            <w:r w:rsidRPr="00BE3F19">
              <w:rPr>
                <w:sz w:val="18"/>
                <w:szCs w:val="18"/>
              </w:rPr>
              <w:t>Biomol GmbH</w:t>
            </w:r>
          </w:p>
          <w:p w14:paraId="0BA71090" w14:textId="77777777" w:rsidR="00C85902" w:rsidRPr="00BE3F19" w:rsidRDefault="00C85902" w:rsidP="009D19C9">
            <w:pPr>
              <w:spacing w:line="240" w:lineRule="auto"/>
              <w:jc w:val="center"/>
              <w:rPr>
                <w:sz w:val="18"/>
                <w:szCs w:val="18"/>
              </w:rPr>
            </w:pPr>
          </w:p>
          <w:p w14:paraId="233326C7" w14:textId="77777777" w:rsidR="00C85902" w:rsidRPr="00BE3F19" w:rsidRDefault="00C85902" w:rsidP="009D19C9">
            <w:pPr>
              <w:spacing w:line="240" w:lineRule="auto"/>
              <w:jc w:val="center"/>
              <w:rPr>
                <w:sz w:val="18"/>
                <w:szCs w:val="18"/>
              </w:rPr>
            </w:pPr>
          </w:p>
          <w:p w14:paraId="7C635830" w14:textId="77777777" w:rsidR="00C85902" w:rsidRPr="00BE3F19" w:rsidRDefault="00C85902" w:rsidP="009D19C9">
            <w:pPr>
              <w:spacing w:line="240" w:lineRule="auto"/>
              <w:jc w:val="center"/>
              <w:rPr>
                <w:sz w:val="18"/>
                <w:szCs w:val="18"/>
              </w:rPr>
            </w:pPr>
          </w:p>
          <w:p w14:paraId="0A3B169D" w14:textId="77777777" w:rsidR="00C85902" w:rsidRPr="00BE3F19" w:rsidRDefault="00C85902" w:rsidP="009D19C9">
            <w:pPr>
              <w:spacing w:line="240" w:lineRule="auto"/>
              <w:jc w:val="center"/>
              <w:rPr>
                <w:sz w:val="18"/>
                <w:szCs w:val="18"/>
              </w:rPr>
            </w:pPr>
          </w:p>
          <w:p w14:paraId="17DF2B2D" w14:textId="77777777" w:rsidR="00C85902" w:rsidRPr="00BE3F19" w:rsidRDefault="00C85902" w:rsidP="009D19C9">
            <w:pPr>
              <w:spacing w:line="240" w:lineRule="auto"/>
              <w:jc w:val="center"/>
              <w:rPr>
                <w:sz w:val="18"/>
                <w:szCs w:val="18"/>
              </w:rPr>
            </w:pPr>
          </w:p>
          <w:p w14:paraId="67882248" w14:textId="77777777" w:rsidR="00C85902" w:rsidRPr="00BE3F19" w:rsidRDefault="00C85902" w:rsidP="009D19C9">
            <w:pPr>
              <w:spacing w:line="240" w:lineRule="auto"/>
              <w:jc w:val="center"/>
              <w:rPr>
                <w:sz w:val="18"/>
                <w:szCs w:val="18"/>
              </w:rPr>
            </w:pPr>
            <w:r w:rsidRPr="00BE3F19">
              <w:rPr>
                <w:sz w:val="18"/>
                <w:szCs w:val="18"/>
              </w:rPr>
              <w:t>Eurofins</w:t>
            </w:r>
          </w:p>
          <w:p w14:paraId="6C980230" w14:textId="77777777" w:rsidR="00C85902" w:rsidRPr="00BE3F19" w:rsidRDefault="00C85902" w:rsidP="009D19C9">
            <w:pPr>
              <w:spacing w:line="240" w:lineRule="auto"/>
              <w:jc w:val="center"/>
              <w:rPr>
                <w:sz w:val="18"/>
                <w:szCs w:val="18"/>
              </w:rPr>
            </w:pPr>
          </w:p>
        </w:tc>
      </w:tr>
      <w:tr w:rsidR="00C85902" w:rsidRPr="00600BBD" w14:paraId="66B83579" w14:textId="77777777" w:rsidTr="00B56544">
        <w:tc>
          <w:tcPr>
            <w:tcW w:w="1734" w:type="dxa"/>
          </w:tcPr>
          <w:p w14:paraId="6B58671D" w14:textId="77777777" w:rsidR="00C85902" w:rsidRPr="00BE3F19" w:rsidRDefault="00C85902" w:rsidP="00BE3F19">
            <w:pPr>
              <w:spacing w:line="240" w:lineRule="auto"/>
              <w:rPr>
                <w:sz w:val="18"/>
                <w:szCs w:val="18"/>
                <w:lang w:val="en-GB"/>
              </w:rPr>
            </w:pPr>
            <w:r w:rsidRPr="00BE3F19">
              <w:rPr>
                <w:sz w:val="18"/>
                <w:szCs w:val="18"/>
                <w:lang w:val="en-GB"/>
              </w:rPr>
              <w:t>2</w:t>
            </w:r>
            <w:r w:rsidRPr="00BE3F19">
              <w:rPr>
                <w:w w:val="50"/>
                <w:sz w:val="18"/>
                <w:szCs w:val="18"/>
                <w:lang w:val="en-GB"/>
              </w:rPr>
              <w:t> </w:t>
            </w:r>
            <w:r w:rsidRPr="00BE3F19">
              <w:rPr>
                <w:rFonts w:cs="Arial"/>
                <w:sz w:val="18"/>
                <w:szCs w:val="18"/>
                <w:lang w:val="en-GB"/>
              </w:rPr>
              <w:t xml:space="preserve">µl </w:t>
            </w:r>
          </w:p>
        </w:tc>
        <w:tc>
          <w:tcPr>
            <w:tcW w:w="6760" w:type="dxa"/>
            <w:gridSpan w:val="2"/>
          </w:tcPr>
          <w:p w14:paraId="3978B4AD" w14:textId="77777777" w:rsidR="00C85902" w:rsidRPr="00BE3F19" w:rsidRDefault="00C85902" w:rsidP="009D19C9">
            <w:pPr>
              <w:spacing w:line="240" w:lineRule="auto"/>
              <w:jc w:val="center"/>
              <w:rPr>
                <w:sz w:val="18"/>
                <w:szCs w:val="18"/>
                <w:lang w:val="en-GB"/>
              </w:rPr>
            </w:pPr>
            <w:r w:rsidRPr="00BE3F19">
              <w:rPr>
                <w:rFonts w:cs="Arial"/>
                <w:sz w:val="18"/>
                <w:szCs w:val="18"/>
                <w:lang w:val="en-GB"/>
              </w:rPr>
              <w:t>SMC (smooth muscle cell cDNA)</w:t>
            </w:r>
          </w:p>
        </w:tc>
      </w:tr>
      <w:tr w:rsidR="00C85902" w:rsidRPr="00CE3889" w14:paraId="607E9AF0" w14:textId="77777777" w:rsidTr="00BE3F19">
        <w:trPr>
          <w:trHeight w:val="845"/>
        </w:trPr>
        <w:tc>
          <w:tcPr>
            <w:tcW w:w="5920" w:type="dxa"/>
            <w:gridSpan w:val="2"/>
          </w:tcPr>
          <w:p w14:paraId="43E860FD" w14:textId="77777777" w:rsidR="00C85902" w:rsidRPr="00BE3F19" w:rsidRDefault="00C85902" w:rsidP="00BE3F19">
            <w:pPr>
              <w:spacing w:line="240" w:lineRule="auto"/>
              <w:rPr>
                <w:sz w:val="18"/>
                <w:szCs w:val="18"/>
              </w:rPr>
            </w:pPr>
            <w:r w:rsidRPr="00BE3F19">
              <w:rPr>
                <w:sz w:val="18"/>
                <w:szCs w:val="18"/>
                <w:u w:val="single"/>
              </w:rPr>
              <w:t>Transgelina-Mastermix</w:t>
            </w:r>
            <w:r w:rsidRPr="00BE3F19">
              <w:rPr>
                <w:sz w:val="18"/>
                <w:szCs w:val="18"/>
              </w:rPr>
              <w:t xml:space="preserve"> (Positiv Kontrolle):</w:t>
            </w:r>
          </w:p>
          <w:p w14:paraId="44DD9151" w14:textId="77777777" w:rsidR="00C85902" w:rsidRPr="00BE3F19" w:rsidRDefault="00C85902" w:rsidP="00BE3F19">
            <w:pPr>
              <w:pStyle w:val="Listenabsatz"/>
              <w:numPr>
                <w:ilvl w:val="0"/>
                <w:numId w:val="5"/>
              </w:numPr>
              <w:spacing w:line="240" w:lineRule="auto"/>
              <w:rPr>
                <w:sz w:val="18"/>
                <w:szCs w:val="18"/>
              </w:rPr>
            </w:pPr>
            <w:r w:rsidRPr="00BE3F19">
              <w:rPr>
                <w:sz w:val="18"/>
                <w:szCs w:val="18"/>
              </w:rPr>
              <w:t>6</w:t>
            </w:r>
            <w:r w:rsidRPr="00BE3F19">
              <w:rPr>
                <w:w w:val="50"/>
                <w:sz w:val="18"/>
                <w:szCs w:val="18"/>
                <w:lang w:val="en-GB"/>
              </w:rPr>
              <w:t> </w:t>
            </w:r>
            <w:r w:rsidRPr="00BE3F19">
              <w:rPr>
                <w:rFonts w:cs="Arial"/>
                <w:sz w:val="18"/>
                <w:szCs w:val="18"/>
              </w:rPr>
              <w:t xml:space="preserve">µl </w:t>
            </w:r>
            <w:r w:rsidRPr="00BE3F19">
              <w:rPr>
                <w:sz w:val="18"/>
                <w:szCs w:val="18"/>
              </w:rPr>
              <w:t>NTW</w:t>
            </w:r>
          </w:p>
          <w:p w14:paraId="031CAE3D" w14:textId="77777777" w:rsidR="00C85902" w:rsidRPr="00BE3F19" w:rsidRDefault="00C85902" w:rsidP="00BE3F19">
            <w:pPr>
              <w:pStyle w:val="Listenabsatz"/>
              <w:numPr>
                <w:ilvl w:val="0"/>
                <w:numId w:val="5"/>
              </w:numPr>
              <w:spacing w:line="240" w:lineRule="auto"/>
              <w:rPr>
                <w:sz w:val="18"/>
                <w:szCs w:val="18"/>
              </w:rPr>
            </w:pPr>
            <w:r w:rsidRPr="00BE3F19">
              <w:rPr>
                <w:sz w:val="18"/>
                <w:szCs w:val="18"/>
              </w:rPr>
              <w:t>10</w:t>
            </w:r>
            <w:r w:rsidRPr="00BE3F19">
              <w:rPr>
                <w:w w:val="50"/>
                <w:sz w:val="18"/>
                <w:szCs w:val="18"/>
                <w:lang w:val="en-GB"/>
              </w:rPr>
              <w:t> </w:t>
            </w:r>
            <w:r w:rsidRPr="00BE3F19">
              <w:rPr>
                <w:rFonts w:cs="Arial"/>
                <w:sz w:val="18"/>
                <w:szCs w:val="18"/>
              </w:rPr>
              <w:t xml:space="preserve">µl </w:t>
            </w:r>
            <w:r w:rsidRPr="00BE3F19">
              <w:rPr>
                <w:sz w:val="18"/>
                <w:szCs w:val="18"/>
              </w:rPr>
              <w:t>Sybrgreen</w:t>
            </w:r>
          </w:p>
          <w:p w14:paraId="7E551D84" w14:textId="77777777" w:rsidR="00C85902" w:rsidRPr="00BE3F19" w:rsidRDefault="00C85902" w:rsidP="00BE3F19">
            <w:pPr>
              <w:pStyle w:val="Listenabsatz"/>
              <w:numPr>
                <w:ilvl w:val="0"/>
                <w:numId w:val="5"/>
              </w:numPr>
              <w:spacing w:line="240" w:lineRule="auto"/>
              <w:rPr>
                <w:sz w:val="18"/>
                <w:szCs w:val="18"/>
              </w:rPr>
            </w:pPr>
            <w:r w:rsidRPr="00BE3F19">
              <w:rPr>
                <w:sz w:val="18"/>
                <w:szCs w:val="18"/>
              </w:rPr>
              <w:t>2</w:t>
            </w:r>
            <w:r w:rsidRPr="00BE3F19">
              <w:rPr>
                <w:w w:val="50"/>
                <w:sz w:val="18"/>
                <w:szCs w:val="18"/>
                <w:lang w:val="en-GB"/>
              </w:rPr>
              <w:t> </w:t>
            </w:r>
            <w:r w:rsidRPr="00BE3F19">
              <w:rPr>
                <w:rFonts w:cs="Arial"/>
                <w:sz w:val="18"/>
                <w:szCs w:val="18"/>
              </w:rPr>
              <w:t xml:space="preserve">µl </w:t>
            </w:r>
            <w:r w:rsidRPr="00BE3F19">
              <w:rPr>
                <w:sz w:val="18"/>
                <w:szCs w:val="18"/>
              </w:rPr>
              <w:t>Tag-Primer</w:t>
            </w:r>
          </w:p>
        </w:tc>
        <w:tc>
          <w:tcPr>
            <w:tcW w:w="2574" w:type="dxa"/>
          </w:tcPr>
          <w:p w14:paraId="225A5C79" w14:textId="77777777" w:rsidR="00C85902" w:rsidRPr="00BE3F19" w:rsidRDefault="00C85902" w:rsidP="009D19C9">
            <w:pPr>
              <w:spacing w:line="240" w:lineRule="auto"/>
              <w:jc w:val="center"/>
              <w:rPr>
                <w:sz w:val="18"/>
                <w:szCs w:val="18"/>
                <w:lang w:val="en-GB"/>
              </w:rPr>
            </w:pPr>
            <w:r w:rsidRPr="00BE3F19">
              <w:rPr>
                <w:sz w:val="18"/>
                <w:szCs w:val="18"/>
                <w:lang w:val="en-GB"/>
              </w:rPr>
              <w:br/>
            </w:r>
            <w:r w:rsidRPr="00BE3F19">
              <w:rPr>
                <w:sz w:val="18"/>
                <w:szCs w:val="18"/>
                <w:lang w:val="en-GB"/>
              </w:rPr>
              <w:br/>
              <w:t>Roche REF04887352001</w:t>
            </w:r>
          </w:p>
          <w:p w14:paraId="7F9A60C0" w14:textId="77777777" w:rsidR="00C85902" w:rsidRPr="00BE3F19" w:rsidRDefault="00C85902" w:rsidP="009D19C9">
            <w:pPr>
              <w:spacing w:line="240" w:lineRule="auto"/>
              <w:jc w:val="center"/>
              <w:rPr>
                <w:sz w:val="18"/>
                <w:szCs w:val="18"/>
                <w:lang w:val="en-GB"/>
              </w:rPr>
            </w:pPr>
            <w:r w:rsidRPr="00BE3F19">
              <w:rPr>
                <w:sz w:val="18"/>
                <w:szCs w:val="18"/>
                <w:lang w:val="en-GB"/>
              </w:rPr>
              <w:t>Qiagen</w:t>
            </w:r>
          </w:p>
        </w:tc>
      </w:tr>
    </w:tbl>
    <w:p w14:paraId="740AC652" w14:textId="77777777" w:rsidR="00C85902" w:rsidRPr="00A94F4E" w:rsidRDefault="00C85902" w:rsidP="00695321">
      <w:pPr>
        <w:pStyle w:val="Beschriftung"/>
      </w:pPr>
    </w:p>
    <w:p w14:paraId="5C672F86" w14:textId="77777777" w:rsidR="00C85902" w:rsidRDefault="00C85902" w:rsidP="008F32FA">
      <w:r>
        <w:t xml:space="preserve">Für jede Probe wurde drei Mastermixe, welche sich in den Primern (CD276 sowie die Housekeeping Gene (oder auch Referenz Gene genannt) GAPDH und ß-Aktin) unterschieden hergestellt. Jeder Primer wurde pro Probe doppelt getestet. Nachdem nun drei Mastermixe für die Proben und ein Mastermix für die Positivkontrolle hergestellt wurden und diese nach der Herstellung gevortext, abzentrifugiert und auf Eis gelagert wurden, konnte mit dem Pipettieren nach dem Layout Schema begonnen werden. </w:t>
      </w:r>
    </w:p>
    <w:p w14:paraId="7D970BB5" w14:textId="77777777" w:rsidR="00C85902" w:rsidRDefault="00C85902" w:rsidP="008F32FA">
      <w:r>
        <w:t>Zunächst wurden 2</w:t>
      </w:r>
      <w:r w:rsidRPr="009C0191">
        <w:rPr>
          <w:w w:val="50"/>
        </w:rPr>
        <w:t> </w:t>
      </w:r>
      <w:r>
        <w:rPr>
          <w:rFonts w:cs="Arial"/>
        </w:rPr>
        <w:t>µl SMC für die Positivkontrolle pipettiert. Danach wurden mit einer frischen Pipettenspitze in drei Wells jeweils 2</w:t>
      </w:r>
      <w:r w:rsidRPr="009C0191">
        <w:rPr>
          <w:w w:val="50"/>
        </w:rPr>
        <w:t> </w:t>
      </w:r>
      <w:r>
        <w:rPr>
          <w:rFonts w:cs="Arial"/>
        </w:rPr>
        <w:t>µl NTW für die Negativkontrolle des jeweiligen Primers pipettiert. Nachdem die ersten vier (Standard) Wells befüllt waren, wurde immer mit einer frischen Pipettenspitze auf den Boden von sechs frischen Wells der Platte jeweils 2</w:t>
      </w:r>
      <w:r w:rsidRPr="00A45250">
        <w:rPr>
          <w:w w:val="50"/>
        </w:rPr>
        <w:t> </w:t>
      </w:r>
      <w:r>
        <w:rPr>
          <w:rFonts w:cs="Arial"/>
        </w:rPr>
        <w:t>µl pro Probe pipettiert. Anschließend konnte mit der Zugabe des Mastermix begonnen werden. Im ersten Schritt wurden 18</w:t>
      </w:r>
      <w:r w:rsidRPr="00A45250">
        <w:rPr>
          <w:w w:val="50"/>
        </w:rPr>
        <w:t> </w:t>
      </w:r>
      <w:r>
        <w:rPr>
          <w:rFonts w:cs="Arial"/>
        </w:rPr>
        <w:t>µl Transgelin (Tag)-Mastermix an den Rand des Wells der SMC Probe hinzugegeben. Dann wurde, mit einer frischen Pipettenspitze, zunächst 18</w:t>
      </w:r>
      <w:r w:rsidRPr="00A45250">
        <w:rPr>
          <w:w w:val="50"/>
        </w:rPr>
        <w:t> </w:t>
      </w:r>
      <w:r>
        <w:rPr>
          <w:rFonts w:cs="Arial"/>
        </w:rPr>
        <w:t>µl GAPDH Mastermix einem der Wells mit NTW als Negativkontrolle hinzugegeben. Danach wurden an den Rand von jeweils zwei Wells pro Probe jeweils 18</w:t>
      </w:r>
      <w:r w:rsidRPr="006F7788">
        <w:rPr>
          <w:w w:val="50"/>
        </w:rPr>
        <w:t> </w:t>
      </w:r>
      <w:r>
        <w:rPr>
          <w:rFonts w:cs="Arial"/>
        </w:rPr>
        <w:t xml:space="preserve">µl GAPDH Mastermix hinzugegeben. Analog dazu wurde jeweils mit dem ß-Aktin- als auch mit dem CD276- Mastermix verfahren. </w:t>
      </w:r>
      <w:r>
        <w:t>Daraus ergibt sich, dass pro Probe sechs Wells der Platte benötigt wurden und jeder Mastermix in 2 Wells pro Probe und zusätzlich ein Well für die Kontrolle benötigte.</w:t>
      </w:r>
    </w:p>
    <w:p w14:paraId="26A90B67" w14:textId="2D50D47E" w:rsidR="00C85902" w:rsidRDefault="00C85902" w:rsidP="008F32FA">
      <w:pPr>
        <w:rPr>
          <w:color w:val="FF0000"/>
        </w:rPr>
      </w:pPr>
      <w:r>
        <w:t>Nachdem alles zusammen pipettiert war, wurde die Folie auf der Platte angebracht und festgestrichen. Dann wurde die Platte für die Dauer von einer Minute bei 1000</w:t>
      </w:r>
      <w:r w:rsidRPr="00087381">
        <w:rPr>
          <w:w w:val="50"/>
        </w:rPr>
        <w:t> </w:t>
      </w:r>
      <w:r>
        <w:t xml:space="preserve">rpm in einer austarierten Zentrifuge zentrifugiert. Danach wurde der LightCycler480 programmiert und die PCR gestartet. Die genauen Angaben der Programmeinstellungen sind </w:t>
      </w:r>
      <w:r>
        <w:fldChar w:fldCharType="begin"/>
      </w:r>
      <w:r>
        <w:instrText xml:space="preserve"> REF _Ref120296858 \h </w:instrText>
      </w:r>
      <w:r>
        <w:fldChar w:fldCharType="separate"/>
      </w:r>
      <w:r w:rsidR="00791554">
        <w:t xml:space="preserve">Tabelle </w:t>
      </w:r>
      <w:r w:rsidR="00791554">
        <w:rPr>
          <w:noProof/>
        </w:rPr>
        <w:t>13</w:t>
      </w:r>
      <w:r>
        <w:fldChar w:fldCharType="end"/>
      </w:r>
      <w:r>
        <w:t xml:space="preserve"> zu entnehmen.</w:t>
      </w:r>
    </w:p>
    <w:p w14:paraId="3E273095" w14:textId="20539EB8" w:rsidR="00C85902" w:rsidRPr="00BE5EE0" w:rsidRDefault="00C85902" w:rsidP="007352F7">
      <w:pPr>
        <w:pStyle w:val="Beschriftung"/>
        <w:keepNext/>
        <w:rPr>
          <w:vanish/>
          <w:specVanish/>
        </w:rPr>
      </w:pPr>
      <w:bookmarkStart w:id="86" w:name="_Ref120296858"/>
      <w:bookmarkStart w:id="87" w:name="_Toc120649855"/>
      <w:r>
        <w:t xml:space="preserve">Tabelle </w:t>
      </w:r>
      <w:r>
        <w:fldChar w:fldCharType="begin"/>
      </w:r>
      <w:r>
        <w:instrText xml:space="preserve"> SEQ Tabelle \* ARABIC </w:instrText>
      </w:r>
      <w:r>
        <w:fldChar w:fldCharType="separate"/>
      </w:r>
      <w:r w:rsidR="00791554">
        <w:rPr>
          <w:noProof/>
        </w:rPr>
        <w:t>13</w:t>
      </w:r>
      <w:r>
        <w:rPr>
          <w:noProof/>
        </w:rPr>
        <w:fldChar w:fldCharType="end"/>
      </w:r>
      <w:bookmarkEnd w:id="86"/>
      <w:r>
        <w:t xml:space="preserve"> </w:t>
      </w:r>
      <w:r w:rsidRPr="00EB7DE5">
        <w:t>Übersicht Programmeinstellung der qRT</w:t>
      </w:r>
      <w:r>
        <w:t>-</w:t>
      </w:r>
      <w:r w:rsidRPr="00EB7DE5">
        <w:t>PCR</w:t>
      </w:r>
      <w:bookmarkEnd w:id="87"/>
    </w:p>
    <w:p w14:paraId="007F8685" w14:textId="77777777" w:rsidR="00C85902" w:rsidRDefault="00C85902" w:rsidP="007352F7">
      <w:pPr>
        <w:pStyle w:val="Beschriftung"/>
        <w:keepNext/>
      </w:pPr>
      <w:r>
        <w:t xml:space="preserve"> </w:t>
      </w:r>
      <w:r>
        <w:br/>
        <w:t>In der Tabelle sind die Schritte der qRT-PCR inklusive Zyklen und Zeit sowie Temperatur aufgeführt.</w:t>
      </w:r>
    </w:p>
    <w:tbl>
      <w:tblPr>
        <w:tblStyle w:val="EinfacheTabelle1"/>
        <w:tblW w:w="0" w:type="auto"/>
        <w:tblLook w:val="04A0" w:firstRow="1" w:lastRow="0" w:firstColumn="1" w:lastColumn="0" w:noHBand="0" w:noVBand="1"/>
      </w:tblPr>
      <w:tblGrid>
        <w:gridCol w:w="2132"/>
        <w:gridCol w:w="1606"/>
        <w:gridCol w:w="2631"/>
        <w:gridCol w:w="2125"/>
      </w:tblGrid>
      <w:tr w:rsidR="00C85902" w:rsidRPr="00B83042" w14:paraId="4520CF27" w14:textId="77777777" w:rsidTr="00BE5EE0">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158" w:type="dxa"/>
            <w:shd w:val="clear" w:color="auto" w:fill="D0CECE" w:themeFill="background2" w:themeFillShade="E6"/>
          </w:tcPr>
          <w:p w14:paraId="37584D3F" w14:textId="77777777" w:rsidR="00C85902" w:rsidRPr="00487FB4" w:rsidRDefault="00C85902" w:rsidP="00BE3F19">
            <w:pPr>
              <w:spacing w:line="240" w:lineRule="auto"/>
              <w:rPr>
                <w:sz w:val="18"/>
                <w:szCs w:val="18"/>
              </w:rPr>
            </w:pPr>
            <w:r w:rsidRPr="00487FB4">
              <w:rPr>
                <w:sz w:val="18"/>
                <w:szCs w:val="18"/>
              </w:rPr>
              <w:t>Programm</w:t>
            </w:r>
          </w:p>
        </w:tc>
        <w:tc>
          <w:tcPr>
            <w:tcW w:w="1636" w:type="dxa"/>
            <w:shd w:val="clear" w:color="auto" w:fill="D0CECE" w:themeFill="background2" w:themeFillShade="E6"/>
          </w:tcPr>
          <w:p w14:paraId="519834D1" w14:textId="77777777" w:rsidR="00C85902" w:rsidRPr="00487FB4" w:rsidRDefault="00C85902" w:rsidP="00BE3F19">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87FB4">
              <w:rPr>
                <w:sz w:val="18"/>
                <w:szCs w:val="18"/>
              </w:rPr>
              <w:t>Zyklen</w:t>
            </w:r>
          </w:p>
        </w:tc>
        <w:tc>
          <w:tcPr>
            <w:tcW w:w="2681" w:type="dxa"/>
            <w:shd w:val="clear" w:color="auto" w:fill="D0CECE" w:themeFill="background2" w:themeFillShade="E6"/>
          </w:tcPr>
          <w:p w14:paraId="572F0D71" w14:textId="77777777" w:rsidR="00C85902" w:rsidRPr="00487FB4" w:rsidRDefault="00C85902" w:rsidP="00BE3F19">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87FB4">
              <w:rPr>
                <w:sz w:val="18"/>
                <w:szCs w:val="18"/>
              </w:rPr>
              <w:t>Zeit</w:t>
            </w:r>
          </w:p>
        </w:tc>
        <w:tc>
          <w:tcPr>
            <w:tcW w:w="2159" w:type="dxa"/>
            <w:shd w:val="clear" w:color="auto" w:fill="D0CECE" w:themeFill="background2" w:themeFillShade="E6"/>
          </w:tcPr>
          <w:p w14:paraId="432387E2" w14:textId="77777777" w:rsidR="00C85902" w:rsidRPr="00487FB4" w:rsidRDefault="00C85902" w:rsidP="00BE3F19">
            <w:pPr>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487FB4">
              <w:rPr>
                <w:sz w:val="18"/>
                <w:szCs w:val="18"/>
              </w:rPr>
              <w:t>Temperatur</w:t>
            </w:r>
          </w:p>
        </w:tc>
      </w:tr>
      <w:tr w:rsidR="00C85902" w:rsidRPr="00B83042" w14:paraId="35C403DE" w14:textId="77777777" w:rsidTr="00BE5EE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58" w:type="dxa"/>
          </w:tcPr>
          <w:p w14:paraId="16B7F425" w14:textId="77777777" w:rsidR="00C85902" w:rsidRPr="00487FB4" w:rsidRDefault="00C85902" w:rsidP="00BE3F19">
            <w:pPr>
              <w:spacing w:line="240" w:lineRule="auto"/>
              <w:rPr>
                <w:sz w:val="18"/>
                <w:szCs w:val="18"/>
              </w:rPr>
            </w:pPr>
            <w:r w:rsidRPr="00487FB4">
              <w:rPr>
                <w:sz w:val="18"/>
                <w:szCs w:val="18"/>
              </w:rPr>
              <w:t>Denaturierung</w:t>
            </w:r>
          </w:p>
        </w:tc>
        <w:tc>
          <w:tcPr>
            <w:tcW w:w="1636" w:type="dxa"/>
          </w:tcPr>
          <w:p w14:paraId="2A1DF547" w14:textId="77777777" w:rsidR="00C85902" w:rsidRPr="00487FB4" w:rsidRDefault="00C85902" w:rsidP="00BE3F1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87FB4">
              <w:rPr>
                <w:sz w:val="18"/>
                <w:szCs w:val="18"/>
              </w:rPr>
              <w:t xml:space="preserve">1 </w:t>
            </w:r>
          </w:p>
        </w:tc>
        <w:tc>
          <w:tcPr>
            <w:tcW w:w="2681" w:type="dxa"/>
          </w:tcPr>
          <w:p w14:paraId="5A57635B" w14:textId="77777777" w:rsidR="00C85902" w:rsidRPr="00487FB4" w:rsidRDefault="00C85902" w:rsidP="00BE3F1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87FB4">
              <w:rPr>
                <w:sz w:val="18"/>
                <w:szCs w:val="18"/>
              </w:rPr>
              <w:t>5 Minuten</w:t>
            </w:r>
          </w:p>
        </w:tc>
        <w:tc>
          <w:tcPr>
            <w:tcW w:w="2159" w:type="dxa"/>
          </w:tcPr>
          <w:p w14:paraId="658B8D99" w14:textId="77777777" w:rsidR="00C85902" w:rsidRPr="00487FB4" w:rsidRDefault="00C85902" w:rsidP="00BE3F1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87FB4">
              <w:rPr>
                <w:sz w:val="18"/>
                <w:szCs w:val="18"/>
              </w:rPr>
              <w:t>95</w:t>
            </w:r>
            <w:r w:rsidRPr="00487FB4">
              <w:rPr>
                <w:w w:val="50"/>
                <w:sz w:val="18"/>
                <w:szCs w:val="18"/>
              </w:rPr>
              <w:t> </w:t>
            </w:r>
            <w:r w:rsidRPr="00487FB4">
              <w:rPr>
                <w:sz w:val="18"/>
                <w:szCs w:val="18"/>
              </w:rPr>
              <w:t>°C</w:t>
            </w:r>
          </w:p>
        </w:tc>
      </w:tr>
      <w:tr w:rsidR="00C85902" w:rsidRPr="00B83042" w14:paraId="4BED6E6D" w14:textId="77777777" w:rsidTr="00BE5EE0">
        <w:trPr>
          <w:trHeight w:val="260"/>
        </w:trPr>
        <w:tc>
          <w:tcPr>
            <w:cnfStyle w:val="001000000000" w:firstRow="0" w:lastRow="0" w:firstColumn="1" w:lastColumn="0" w:oddVBand="0" w:evenVBand="0" w:oddHBand="0" w:evenHBand="0" w:firstRowFirstColumn="0" w:firstRowLastColumn="0" w:lastRowFirstColumn="0" w:lastRowLastColumn="0"/>
            <w:tcW w:w="2158" w:type="dxa"/>
          </w:tcPr>
          <w:p w14:paraId="3BD53AF5" w14:textId="77777777" w:rsidR="00C85902" w:rsidRPr="00487FB4" w:rsidRDefault="00C85902" w:rsidP="00BE3F19">
            <w:pPr>
              <w:spacing w:line="240" w:lineRule="auto"/>
              <w:rPr>
                <w:sz w:val="18"/>
                <w:szCs w:val="18"/>
              </w:rPr>
            </w:pPr>
            <w:r w:rsidRPr="00487FB4">
              <w:rPr>
                <w:sz w:val="18"/>
                <w:szCs w:val="18"/>
              </w:rPr>
              <w:t>Amplifikation</w:t>
            </w:r>
          </w:p>
        </w:tc>
        <w:tc>
          <w:tcPr>
            <w:tcW w:w="1636" w:type="dxa"/>
          </w:tcPr>
          <w:p w14:paraId="7E43A4A3" w14:textId="77777777" w:rsidR="00C85902" w:rsidRPr="00487FB4" w:rsidRDefault="00C85902" w:rsidP="00BE3F1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87FB4">
              <w:rPr>
                <w:sz w:val="18"/>
                <w:szCs w:val="18"/>
              </w:rPr>
              <w:t>39</w:t>
            </w:r>
          </w:p>
        </w:tc>
        <w:tc>
          <w:tcPr>
            <w:tcW w:w="2681" w:type="dxa"/>
          </w:tcPr>
          <w:p w14:paraId="0410070A" w14:textId="77777777" w:rsidR="00C85902" w:rsidRPr="00487FB4" w:rsidRDefault="00C85902" w:rsidP="00BE3F1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87FB4">
              <w:rPr>
                <w:sz w:val="18"/>
                <w:szCs w:val="18"/>
              </w:rPr>
              <w:t>10</w:t>
            </w:r>
            <w:r w:rsidRPr="00487FB4">
              <w:rPr>
                <w:w w:val="50"/>
                <w:sz w:val="18"/>
                <w:szCs w:val="18"/>
              </w:rPr>
              <w:t> </w:t>
            </w:r>
            <w:r w:rsidRPr="00487FB4">
              <w:rPr>
                <w:sz w:val="18"/>
                <w:szCs w:val="18"/>
              </w:rPr>
              <w:t>s – 20</w:t>
            </w:r>
            <w:r w:rsidRPr="00487FB4">
              <w:rPr>
                <w:w w:val="50"/>
                <w:sz w:val="18"/>
                <w:szCs w:val="18"/>
              </w:rPr>
              <w:t> </w:t>
            </w:r>
            <w:r w:rsidRPr="00487FB4">
              <w:rPr>
                <w:sz w:val="18"/>
                <w:szCs w:val="18"/>
              </w:rPr>
              <w:t>s – 30</w:t>
            </w:r>
            <w:r w:rsidRPr="00487FB4">
              <w:rPr>
                <w:w w:val="50"/>
                <w:sz w:val="18"/>
                <w:szCs w:val="18"/>
              </w:rPr>
              <w:t> </w:t>
            </w:r>
            <w:r w:rsidRPr="00487FB4">
              <w:rPr>
                <w:sz w:val="18"/>
                <w:szCs w:val="18"/>
              </w:rPr>
              <w:t>s</w:t>
            </w:r>
          </w:p>
        </w:tc>
        <w:tc>
          <w:tcPr>
            <w:tcW w:w="2159" w:type="dxa"/>
          </w:tcPr>
          <w:p w14:paraId="75EACDFE" w14:textId="77777777" w:rsidR="00C85902" w:rsidRPr="00487FB4" w:rsidRDefault="00C85902" w:rsidP="00BE3F1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87FB4">
              <w:rPr>
                <w:sz w:val="18"/>
                <w:szCs w:val="18"/>
              </w:rPr>
              <w:t>95</w:t>
            </w:r>
            <w:r w:rsidRPr="00487FB4">
              <w:rPr>
                <w:w w:val="50"/>
                <w:sz w:val="18"/>
                <w:szCs w:val="18"/>
              </w:rPr>
              <w:t> </w:t>
            </w:r>
            <w:r w:rsidRPr="00487FB4">
              <w:rPr>
                <w:sz w:val="18"/>
                <w:szCs w:val="18"/>
              </w:rPr>
              <w:t>°C – 60</w:t>
            </w:r>
            <w:r w:rsidRPr="00487FB4">
              <w:rPr>
                <w:w w:val="50"/>
                <w:sz w:val="18"/>
                <w:szCs w:val="18"/>
              </w:rPr>
              <w:t> </w:t>
            </w:r>
            <w:r w:rsidRPr="00487FB4">
              <w:rPr>
                <w:sz w:val="18"/>
                <w:szCs w:val="18"/>
              </w:rPr>
              <w:t>°C – 72</w:t>
            </w:r>
            <w:r w:rsidRPr="00487FB4">
              <w:rPr>
                <w:w w:val="50"/>
                <w:sz w:val="18"/>
                <w:szCs w:val="18"/>
              </w:rPr>
              <w:t> </w:t>
            </w:r>
            <w:r w:rsidRPr="00487FB4">
              <w:rPr>
                <w:sz w:val="18"/>
                <w:szCs w:val="18"/>
              </w:rPr>
              <w:t>°C</w:t>
            </w:r>
          </w:p>
        </w:tc>
      </w:tr>
      <w:tr w:rsidR="00C85902" w:rsidRPr="00B83042" w14:paraId="55BFFC3E" w14:textId="77777777" w:rsidTr="00BE5EE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58" w:type="dxa"/>
          </w:tcPr>
          <w:p w14:paraId="6EB22DD3" w14:textId="77777777" w:rsidR="00C85902" w:rsidRPr="00487FB4" w:rsidRDefault="00C85902" w:rsidP="00BE3F19">
            <w:pPr>
              <w:spacing w:line="240" w:lineRule="auto"/>
              <w:rPr>
                <w:sz w:val="18"/>
                <w:szCs w:val="18"/>
              </w:rPr>
            </w:pPr>
            <w:r w:rsidRPr="00487FB4">
              <w:rPr>
                <w:sz w:val="18"/>
                <w:szCs w:val="18"/>
              </w:rPr>
              <w:t>Schmelzkurve</w:t>
            </w:r>
          </w:p>
        </w:tc>
        <w:tc>
          <w:tcPr>
            <w:tcW w:w="1636" w:type="dxa"/>
          </w:tcPr>
          <w:p w14:paraId="4494FCE0" w14:textId="77777777" w:rsidR="00C85902" w:rsidRPr="00487FB4" w:rsidRDefault="00C85902" w:rsidP="00BE3F1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87FB4">
              <w:rPr>
                <w:sz w:val="18"/>
                <w:szCs w:val="18"/>
              </w:rPr>
              <w:t>1</w:t>
            </w:r>
          </w:p>
        </w:tc>
        <w:tc>
          <w:tcPr>
            <w:tcW w:w="2681" w:type="dxa"/>
          </w:tcPr>
          <w:p w14:paraId="22B5F5B8" w14:textId="77777777" w:rsidR="00C85902" w:rsidRPr="00487FB4" w:rsidRDefault="00C85902" w:rsidP="00BE3F1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87FB4">
              <w:rPr>
                <w:sz w:val="18"/>
                <w:szCs w:val="18"/>
              </w:rPr>
              <w:t>5</w:t>
            </w:r>
            <w:r w:rsidRPr="00487FB4">
              <w:rPr>
                <w:w w:val="50"/>
                <w:sz w:val="18"/>
                <w:szCs w:val="18"/>
              </w:rPr>
              <w:t> </w:t>
            </w:r>
            <w:r w:rsidRPr="00487FB4">
              <w:rPr>
                <w:sz w:val="18"/>
                <w:szCs w:val="18"/>
              </w:rPr>
              <w:t>s – 30</w:t>
            </w:r>
            <w:r w:rsidRPr="00487FB4">
              <w:rPr>
                <w:w w:val="50"/>
                <w:sz w:val="18"/>
                <w:szCs w:val="18"/>
              </w:rPr>
              <w:t> </w:t>
            </w:r>
            <w:r w:rsidRPr="00487FB4">
              <w:rPr>
                <w:sz w:val="18"/>
                <w:szCs w:val="18"/>
              </w:rPr>
              <w:t>s - kontinuierlich</w:t>
            </w:r>
          </w:p>
        </w:tc>
        <w:tc>
          <w:tcPr>
            <w:tcW w:w="2159" w:type="dxa"/>
          </w:tcPr>
          <w:p w14:paraId="39A04D3D" w14:textId="77777777" w:rsidR="00C85902" w:rsidRPr="00487FB4" w:rsidRDefault="00C85902" w:rsidP="00487FB4">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487FB4">
              <w:rPr>
                <w:sz w:val="18"/>
                <w:szCs w:val="18"/>
              </w:rPr>
              <w:t>95</w:t>
            </w:r>
            <w:r w:rsidRPr="00487FB4">
              <w:rPr>
                <w:w w:val="50"/>
                <w:sz w:val="18"/>
                <w:szCs w:val="18"/>
              </w:rPr>
              <w:t> </w:t>
            </w:r>
            <w:r w:rsidRPr="00487FB4">
              <w:rPr>
                <w:sz w:val="18"/>
                <w:szCs w:val="18"/>
              </w:rPr>
              <w:t>°C – 60</w:t>
            </w:r>
            <w:r w:rsidRPr="00487FB4">
              <w:rPr>
                <w:w w:val="50"/>
                <w:sz w:val="18"/>
                <w:szCs w:val="18"/>
              </w:rPr>
              <w:t> </w:t>
            </w:r>
            <w:r w:rsidRPr="00487FB4">
              <w:rPr>
                <w:sz w:val="18"/>
                <w:szCs w:val="18"/>
              </w:rPr>
              <w:t>°C – 97</w:t>
            </w:r>
            <w:r w:rsidRPr="00487FB4">
              <w:rPr>
                <w:w w:val="50"/>
                <w:sz w:val="18"/>
                <w:szCs w:val="18"/>
              </w:rPr>
              <w:t> </w:t>
            </w:r>
            <w:r w:rsidRPr="00487FB4">
              <w:rPr>
                <w:sz w:val="18"/>
                <w:szCs w:val="18"/>
              </w:rPr>
              <w:t>°C</w:t>
            </w:r>
          </w:p>
        </w:tc>
      </w:tr>
      <w:tr w:rsidR="00C85902" w:rsidRPr="00B83042" w14:paraId="676DEB87" w14:textId="77777777" w:rsidTr="00BE5EE0">
        <w:trPr>
          <w:trHeight w:val="278"/>
        </w:trPr>
        <w:tc>
          <w:tcPr>
            <w:cnfStyle w:val="001000000000" w:firstRow="0" w:lastRow="0" w:firstColumn="1" w:lastColumn="0" w:oddVBand="0" w:evenVBand="0" w:oddHBand="0" w:evenHBand="0" w:firstRowFirstColumn="0" w:firstRowLastColumn="0" w:lastRowFirstColumn="0" w:lastRowLastColumn="0"/>
            <w:tcW w:w="2158" w:type="dxa"/>
          </w:tcPr>
          <w:p w14:paraId="413CC39F" w14:textId="77777777" w:rsidR="00C85902" w:rsidRPr="00487FB4" w:rsidRDefault="00C85902" w:rsidP="00BE3F19">
            <w:pPr>
              <w:spacing w:line="240" w:lineRule="auto"/>
              <w:rPr>
                <w:sz w:val="18"/>
                <w:szCs w:val="18"/>
              </w:rPr>
            </w:pPr>
            <w:r w:rsidRPr="00487FB4">
              <w:rPr>
                <w:sz w:val="18"/>
                <w:szCs w:val="18"/>
              </w:rPr>
              <w:t>Kühlung</w:t>
            </w:r>
          </w:p>
        </w:tc>
        <w:tc>
          <w:tcPr>
            <w:tcW w:w="1636" w:type="dxa"/>
          </w:tcPr>
          <w:p w14:paraId="53297038" w14:textId="77777777" w:rsidR="00C85902" w:rsidRPr="00487FB4" w:rsidRDefault="00C85902" w:rsidP="00BE3F1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87FB4">
              <w:rPr>
                <w:sz w:val="18"/>
                <w:szCs w:val="18"/>
              </w:rPr>
              <w:t>1</w:t>
            </w:r>
          </w:p>
        </w:tc>
        <w:tc>
          <w:tcPr>
            <w:tcW w:w="2681" w:type="dxa"/>
          </w:tcPr>
          <w:p w14:paraId="77C2FCCA" w14:textId="77777777" w:rsidR="00C85902" w:rsidRPr="00487FB4" w:rsidRDefault="00C85902" w:rsidP="00BE3F1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87FB4">
              <w:rPr>
                <w:sz w:val="18"/>
                <w:szCs w:val="18"/>
              </w:rPr>
              <w:t>30</w:t>
            </w:r>
            <w:r w:rsidRPr="00487FB4">
              <w:rPr>
                <w:w w:val="50"/>
                <w:sz w:val="18"/>
                <w:szCs w:val="18"/>
              </w:rPr>
              <w:t> </w:t>
            </w:r>
            <w:r w:rsidRPr="00487FB4">
              <w:rPr>
                <w:sz w:val="18"/>
                <w:szCs w:val="18"/>
              </w:rPr>
              <w:t>s</w:t>
            </w:r>
          </w:p>
        </w:tc>
        <w:tc>
          <w:tcPr>
            <w:tcW w:w="2159" w:type="dxa"/>
          </w:tcPr>
          <w:p w14:paraId="0E68D988" w14:textId="77777777" w:rsidR="00C85902" w:rsidRPr="00487FB4" w:rsidRDefault="00C85902" w:rsidP="00BE3F19">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87FB4">
              <w:rPr>
                <w:sz w:val="18"/>
                <w:szCs w:val="18"/>
              </w:rPr>
              <w:t>4</w:t>
            </w:r>
            <w:r w:rsidRPr="00487FB4">
              <w:rPr>
                <w:w w:val="50"/>
                <w:sz w:val="18"/>
                <w:szCs w:val="18"/>
              </w:rPr>
              <w:t> </w:t>
            </w:r>
            <w:r w:rsidRPr="00487FB4">
              <w:rPr>
                <w:sz w:val="18"/>
                <w:szCs w:val="18"/>
              </w:rPr>
              <w:t>°C</w:t>
            </w:r>
          </w:p>
        </w:tc>
      </w:tr>
    </w:tbl>
    <w:p w14:paraId="7EF191ED" w14:textId="77777777" w:rsidR="00C85902" w:rsidRDefault="00C85902" w:rsidP="008F32FA">
      <w:r>
        <w:t>Nach Ablauf der PCR konnte die Platte bei -20</w:t>
      </w:r>
      <w:r w:rsidRPr="00087381">
        <w:rPr>
          <w:w w:val="50"/>
        </w:rPr>
        <w:t> </w:t>
      </w:r>
      <w:r>
        <w:t xml:space="preserve">°C gelagert werden. </w:t>
      </w:r>
    </w:p>
    <w:p w14:paraId="147822EB" w14:textId="77777777" w:rsidR="00C85902" w:rsidRDefault="00C85902" w:rsidP="008F32FA">
      <w:r>
        <w:t xml:space="preserve">Für die Berechnung der relativen Expression an CD276 wurden die Werte der qRT-PCR von CD76 sowie der Referenz Gene GAPDH und ß-Aktin in folgende Formel eingesetzt: </w:t>
      </w:r>
    </w:p>
    <w:p w14:paraId="5FE0418C" w14:textId="77777777" w:rsidR="00C85902" w:rsidRPr="00B83042" w:rsidRDefault="00C85902" w:rsidP="008F32FA">
      <m:oMathPara>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t (CD276)</m:t>
              </m:r>
            </m:sub>
          </m:sSub>
          <m: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t (Referenzgene)</m:t>
              </m:r>
            </m:sub>
          </m:sSub>
        </m:oMath>
      </m:oMathPara>
    </w:p>
    <w:p w14:paraId="393F9032" w14:textId="77777777" w:rsidR="00C85902" w:rsidRPr="00087381" w:rsidRDefault="00C85902" w:rsidP="008F32FA">
      <m:oMathPara>
        <m:oMath>
          <m:r>
            <w:rPr>
              <w:rFonts w:ascii="Cambria Math" w:hAnsi="Cambria Math"/>
            </w:rPr>
            <m:t>Relative Expression CD267=</m:t>
          </m:r>
          <m:sSup>
            <m:sSupPr>
              <m:ctrlPr>
                <w:rPr>
                  <w:rFonts w:ascii="Cambria Math" w:hAnsi="Cambria Math"/>
                  <w:i/>
                </w:rPr>
              </m:ctrlPr>
            </m:sSupPr>
            <m:e>
              <m:r>
                <w:rPr>
                  <w:rFonts w:ascii="Cambria Math" w:hAnsi="Cambria Math"/>
                </w:rPr>
                <m:t>2</m:t>
              </m:r>
            </m:e>
            <m: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up>
          </m:sSup>
          <m:r>
            <w:rPr>
              <w:rFonts w:ascii="Cambria Math" w:hAnsi="Cambria Math"/>
            </w:rPr>
            <m:t xml:space="preserve"> </m:t>
          </m:r>
        </m:oMath>
      </m:oMathPara>
    </w:p>
    <w:p w14:paraId="568B9D10" w14:textId="77777777" w:rsidR="00C85902" w:rsidRDefault="00C85902" w:rsidP="0001185F">
      <w:pPr>
        <w:pStyle w:val="berschrift2"/>
      </w:pPr>
      <w:bookmarkStart w:id="88" w:name="_Ref83980409"/>
      <w:bookmarkStart w:id="89" w:name="_Ref83980499"/>
      <w:bookmarkStart w:id="90" w:name="_Ref83980503"/>
      <w:bookmarkStart w:id="91" w:name="_Ref83980510"/>
      <w:bookmarkStart w:id="92" w:name="_Ref83980516"/>
      <w:bookmarkStart w:id="93" w:name="_Ref83980573"/>
      <w:bookmarkStart w:id="94" w:name="_Toc121158661"/>
      <w:r w:rsidRPr="005529EE">
        <w:t>Proteinbestimmung mittels Western Blot</w:t>
      </w:r>
      <w:bookmarkEnd w:id="88"/>
      <w:bookmarkEnd w:id="89"/>
      <w:bookmarkEnd w:id="90"/>
      <w:bookmarkEnd w:id="91"/>
      <w:bookmarkEnd w:id="92"/>
      <w:bookmarkEnd w:id="93"/>
      <w:bookmarkEnd w:id="94"/>
    </w:p>
    <w:p w14:paraId="451552EB" w14:textId="77777777" w:rsidR="00C85902" w:rsidRPr="007352F7" w:rsidRDefault="00C85902" w:rsidP="007352F7">
      <w:r>
        <w:t>Nachfolgend werden die Schritte zur Durchführung des Western Blots erläutert.</w:t>
      </w:r>
    </w:p>
    <w:p w14:paraId="5E1ACE9F" w14:textId="77777777" w:rsidR="00C85902" w:rsidRPr="00697794" w:rsidRDefault="00C85902" w:rsidP="00697794">
      <w:pPr>
        <w:pStyle w:val="berschrift3"/>
      </w:pPr>
      <w:bookmarkStart w:id="95" w:name="_Toc121158662"/>
      <w:r w:rsidRPr="00697794">
        <w:t>Proteinextraktion</w:t>
      </w:r>
      <w:bookmarkEnd w:id="95"/>
    </w:p>
    <w:p w14:paraId="45758E04" w14:textId="258C93CD" w:rsidR="00C85902" w:rsidRDefault="00C85902" w:rsidP="0001185F">
      <w:pPr>
        <w:rPr>
          <w:rFonts w:cs="Arial"/>
          <w:color w:val="000000"/>
          <w:szCs w:val="24"/>
        </w:rPr>
      </w:pPr>
      <w:r w:rsidRPr="008F32FA">
        <w:rPr>
          <w:rFonts w:cs="Arial"/>
          <w:color w:val="000000"/>
          <w:szCs w:val="24"/>
        </w:rPr>
        <w:t xml:space="preserve">Nach der ersten als auch der vierten </w:t>
      </w:r>
      <w:r>
        <w:rPr>
          <w:rFonts w:cs="Arial"/>
          <w:color w:val="000000"/>
          <w:szCs w:val="24"/>
        </w:rPr>
        <w:t>Versuchsw</w:t>
      </w:r>
      <w:r w:rsidRPr="008F32FA">
        <w:rPr>
          <w:rFonts w:cs="Arial"/>
          <w:color w:val="000000"/>
          <w:szCs w:val="24"/>
        </w:rPr>
        <w:t>oche wurden zusätzlich von jeder Zelllinie jeweils Proteine für Western</w:t>
      </w:r>
      <w:r>
        <w:rPr>
          <w:rFonts w:cs="Arial"/>
          <w:color w:val="000000"/>
          <w:szCs w:val="24"/>
        </w:rPr>
        <w:t xml:space="preserve"> B</w:t>
      </w:r>
      <w:r w:rsidRPr="008F32FA">
        <w:rPr>
          <w:rFonts w:cs="Arial"/>
          <w:color w:val="000000"/>
          <w:szCs w:val="24"/>
        </w:rPr>
        <w:t>lot</w:t>
      </w:r>
      <w:r>
        <w:rPr>
          <w:rFonts w:cs="Arial"/>
          <w:color w:val="000000"/>
          <w:szCs w:val="24"/>
        </w:rPr>
        <w:t xml:space="preserve"> </w:t>
      </w:r>
      <w:r w:rsidRPr="008F32FA">
        <w:rPr>
          <w:rFonts w:cs="Arial"/>
          <w:color w:val="000000"/>
          <w:szCs w:val="24"/>
        </w:rPr>
        <w:t>Lysate isoliert.</w:t>
      </w:r>
      <w:r>
        <w:rPr>
          <w:rFonts w:cs="Arial"/>
          <w:color w:val="000000"/>
          <w:szCs w:val="24"/>
        </w:rPr>
        <w:t xml:space="preserve"> Bei den isolierten Harnleiterzellen</w:t>
      </w:r>
      <w:r w:rsidRPr="008F32FA">
        <w:rPr>
          <w:rFonts w:cs="Arial"/>
          <w:color w:val="000000"/>
          <w:szCs w:val="24"/>
        </w:rPr>
        <w:t xml:space="preserve"> </w:t>
      </w:r>
      <w:r>
        <w:rPr>
          <w:rFonts w:cs="Arial"/>
          <w:color w:val="000000"/>
          <w:szCs w:val="24"/>
        </w:rPr>
        <w:t xml:space="preserve">war dies nur nach der ersten Passage möglich. Zum Herstellen der Lysate </w:t>
      </w:r>
      <w:r w:rsidRPr="008F32FA">
        <w:rPr>
          <w:rFonts w:cs="Arial"/>
          <w:color w:val="000000"/>
          <w:szCs w:val="24"/>
        </w:rPr>
        <w:t>wurde</w:t>
      </w:r>
      <w:r>
        <w:rPr>
          <w:rFonts w:cs="Arial"/>
          <w:color w:val="000000"/>
          <w:szCs w:val="24"/>
        </w:rPr>
        <w:t>n</w:t>
      </w:r>
      <w:r w:rsidRPr="008F32FA">
        <w:rPr>
          <w:rFonts w:cs="Arial"/>
          <w:color w:val="000000"/>
          <w:szCs w:val="24"/>
        </w:rPr>
        <w:t xml:space="preserve"> die Zellen</w:t>
      </w:r>
      <w:r>
        <w:rPr>
          <w:rFonts w:cs="Arial"/>
          <w:color w:val="000000"/>
          <w:szCs w:val="24"/>
        </w:rPr>
        <w:t xml:space="preserve">, </w:t>
      </w:r>
      <w:r w:rsidRPr="008F32FA">
        <w:rPr>
          <w:rFonts w:cs="Arial"/>
          <w:color w:val="000000"/>
          <w:szCs w:val="24"/>
        </w:rPr>
        <w:t>in einem ersten Schritt</w:t>
      </w:r>
      <w:r>
        <w:rPr>
          <w:rFonts w:cs="Arial"/>
          <w:color w:val="000000"/>
          <w:szCs w:val="24"/>
        </w:rPr>
        <w:t xml:space="preserve"> </w:t>
      </w:r>
      <w:r w:rsidRPr="008F32FA">
        <w:rPr>
          <w:rFonts w:cs="Arial"/>
          <w:color w:val="000000"/>
          <w:szCs w:val="24"/>
        </w:rPr>
        <w:t>wie gewohnt abgelöst</w:t>
      </w:r>
      <w:r>
        <w:rPr>
          <w:rFonts w:cs="Arial"/>
          <w:color w:val="000000"/>
          <w:szCs w:val="24"/>
        </w:rPr>
        <w:t xml:space="preserve">, gewaschen und zentrifugiert (siehe </w:t>
      </w:r>
      <w:r>
        <w:rPr>
          <w:rFonts w:cs="Arial"/>
          <w:color w:val="000000"/>
          <w:szCs w:val="24"/>
        </w:rPr>
        <w:fldChar w:fldCharType="begin"/>
      </w:r>
      <w:r>
        <w:rPr>
          <w:rFonts w:cs="Arial"/>
          <w:color w:val="000000"/>
          <w:szCs w:val="24"/>
        </w:rPr>
        <w:instrText xml:space="preserve"> REF _Ref67392591 \r \h </w:instrText>
      </w:r>
      <w:r>
        <w:rPr>
          <w:rFonts w:cs="Arial"/>
          <w:color w:val="000000"/>
          <w:szCs w:val="24"/>
        </w:rPr>
      </w:r>
      <w:r>
        <w:rPr>
          <w:rFonts w:cs="Arial"/>
          <w:color w:val="000000"/>
          <w:szCs w:val="24"/>
        </w:rPr>
        <w:fldChar w:fldCharType="separate"/>
      </w:r>
      <w:r w:rsidR="00791554">
        <w:rPr>
          <w:rFonts w:cs="Arial"/>
          <w:color w:val="000000"/>
          <w:szCs w:val="24"/>
        </w:rPr>
        <w:t>2.3</w:t>
      </w:r>
      <w:r>
        <w:rPr>
          <w:rFonts w:cs="Arial"/>
          <w:color w:val="000000"/>
          <w:szCs w:val="24"/>
        </w:rPr>
        <w:fldChar w:fldCharType="end"/>
      </w:r>
      <w:r>
        <w:rPr>
          <w:rFonts w:cs="Arial"/>
          <w:color w:val="000000"/>
          <w:szCs w:val="24"/>
        </w:rPr>
        <w:t>). Das entstandene Pellet wurde nun jedoch, analog zur RNA-Extraktion, in 10</w:t>
      </w:r>
      <w:r w:rsidRPr="005F7AB2">
        <w:rPr>
          <w:w w:val="50"/>
        </w:rPr>
        <w:t> </w:t>
      </w:r>
      <w:r>
        <w:rPr>
          <w:rFonts w:cs="Arial"/>
          <w:color w:val="000000"/>
          <w:szCs w:val="24"/>
        </w:rPr>
        <w:t>ml 4</w:t>
      </w:r>
      <w:r w:rsidRPr="008C4356">
        <w:rPr>
          <w:w w:val="50"/>
        </w:rPr>
        <w:t> </w:t>
      </w:r>
      <w:r>
        <w:rPr>
          <w:rFonts w:cs="Arial"/>
          <w:color w:val="000000"/>
          <w:szCs w:val="24"/>
        </w:rPr>
        <w:t>°C PBS gelöst und im Zentrifugationsröhrchen erneut bei 1500</w:t>
      </w:r>
      <w:r w:rsidRPr="005F7AB2">
        <w:rPr>
          <w:w w:val="50"/>
        </w:rPr>
        <w:t> </w:t>
      </w:r>
      <w:r>
        <w:rPr>
          <w:rFonts w:cs="Arial"/>
          <w:color w:val="000000"/>
          <w:szCs w:val="24"/>
        </w:rPr>
        <w:t>rpm für eine Dauer von 7</w:t>
      </w:r>
      <w:r w:rsidRPr="005F7AB2">
        <w:rPr>
          <w:w w:val="50"/>
        </w:rPr>
        <w:t> </w:t>
      </w:r>
      <w:r>
        <w:rPr>
          <w:rFonts w:cs="Arial"/>
          <w:color w:val="000000"/>
          <w:szCs w:val="24"/>
        </w:rPr>
        <w:t>Minuten zentrifugiert. Der Überstand wurde danach abgesaugt und das entstandene Zellpellet wurde in 200</w:t>
      </w:r>
      <w:r w:rsidRPr="005F7AB2">
        <w:rPr>
          <w:w w:val="50"/>
        </w:rPr>
        <w:t> </w:t>
      </w:r>
      <w:r>
        <w:rPr>
          <w:rFonts w:cs="Arial"/>
          <w:color w:val="000000"/>
          <w:szCs w:val="24"/>
        </w:rPr>
        <w:t>µl RIPA+ re-suspendiert. Die Proben wurden bis zum Western Blot bei -80</w:t>
      </w:r>
      <w:r w:rsidRPr="009B2C19">
        <w:rPr>
          <w:w w:val="50"/>
        </w:rPr>
        <w:t> </w:t>
      </w:r>
      <w:r>
        <w:rPr>
          <w:rFonts w:cs="Arial"/>
          <w:color w:val="000000"/>
          <w:szCs w:val="24"/>
        </w:rPr>
        <w:t>°C gelagert.</w:t>
      </w:r>
    </w:p>
    <w:p w14:paraId="49D60AA4" w14:textId="37731E5E" w:rsidR="00C85902" w:rsidRDefault="00C85902" w:rsidP="0001185F">
      <w:pPr>
        <w:rPr>
          <w:rFonts w:cs="Arial"/>
          <w:color w:val="000000"/>
          <w:szCs w:val="24"/>
        </w:rPr>
      </w:pPr>
      <w:r>
        <w:rPr>
          <w:rFonts w:cs="Arial"/>
          <w:color w:val="000000"/>
          <w:szCs w:val="24"/>
        </w:rPr>
        <w:t>Nachdem von allen Proben die Lysate vorhanden waren, wurden diese aufgetaut und in 2</w:t>
      </w:r>
      <w:r w:rsidRPr="00F63CFD">
        <w:rPr>
          <w:w w:val="50"/>
        </w:rPr>
        <w:t> </w:t>
      </w:r>
      <w:r>
        <w:rPr>
          <w:rFonts w:cs="Arial"/>
          <w:color w:val="000000"/>
          <w:szCs w:val="24"/>
        </w:rPr>
        <w:t>ml Zentrifugationsröhrchen überführt, bevor sie für die Dauer von 20</w:t>
      </w:r>
      <w:r w:rsidRPr="00F63CFD">
        <w:rPr>
          <w:w w:val="50"/>
        </w:rPr>
        <w:t> </w:t>
      </w:r>
      <w:r>
        <w:rPr>
          <w:rFonts w:cs="Arial"/>
          <w:color w:val="000000"/>
          <w:szCs w:val="24"/>
        </w:rPr>
        <w:t>Minuten bei 15000</w:t>
      </w:r>
      <w:r w:rsidRPr="00F63CFD">
        <w:rPr>
          <w:w w:val="50"/>
        </w:rPr>
        <w:t> </w:t>
      </w:r>
      <w:r>
        <w:rPr>
          <w:rFonts w:cs="Arial"/>
          <w:color w:val="000000"/>
          <w:szCs w:val="24"/>
        </w:rPr>
        <w:t>rpm und 4</w:t>
      </w:r>
      <w:r w:rsidRPr="00F63CFD">
        <w:rPr>
          <w:w w:val="50"/>
        </w:rPr>
        <w:t> </w:t>
      </w:r>
      <w:r>
        <w:rPr>
          <w:rFonts w:cs="Arial"/>
          <w:color w:val="000000"/>
          <w:szCs w:val="24"/>
        </w:rPr>
        <w:t xml:space="preserve">°C abzentrifugiert wurden, um unlösliche Fraktionen zu sedimentieren. Anschließend wurde der Überstand in frische und bereits gekühlte Zentrifugationsröhrchen überführt und auf Eis gelagert, während das vorherige Zentrifugationsröhrchen inklusive Pellet verworfen wurde. Es folgte die </w:t>
      </w:r>
      <w:r w:rsidRPr="00FC0763">
        <w:rPr>
          <w:rFonts w:cs="Arial"/>
          <w:color w:val="000000"/>
          <w:szCs w:val="24"/>
        </w:rPr>
        <w:t>Proteinbestimmung (</w:t>
      </w:r>
      <w:r>
        <w:rPr>
          <w:rFonts w:cs="Arial"/>
          <w:color w:val="000000"/>
          <w:szCs w:val="24"/>
        </w:rPr>
        <w:fldChar w:fldCharType="begin"/>
      </w:r>
      <w:r>
        <w:rPr>
          <w:rFonts w:cs="Arial"/>
          <w:color w:val="000000"/>
          <w:szCs w:val="24"/>
        </w:rPr>
        <w:instrText xml:space="preserve"> REF _Ref84406096 \h </w:instrText>
      </w:r>
      <w:r>
        <w:rPr>
          <w:rFonts w:cs="Arial"/>
          <w:color w:val="000000"/>
          <w:szCs w:val="24"/>
        </w:rPr>
      </w:r>
      <w:r>
        <w:rPr>
          <w:rFonts w:cs="Arial"/>
          <w:color w:val="000000"/>
          <w:szCs w:val="24"/>
        </w:rPr>
        <w:fldChar w:fldCharType="separate"/>
      </w:r>
      <w:r w:rsidR="00791554">
        <w:t xml:space="preserve">Abbildung </w:t>
      </w:r>
      <w:r w:rsidR="00791554">
        <w:rPr>
          <w:noProof/>
        </w:rPr>
        <w:t>5</w:t>
      </w:r>
      <w:r>
        <w:rPr>
          <w:rFonts w:cs="Arial"/>
          <w:color w:val="000000"/>
          <w:szCs w:val="24"/>
        </w:rPr>
        <w:fldChar w:fldCharType="end"/>
      </w:r>
      <w:r w:rsidRPr="00FC0763">
        <w:rPr>
          <w:rFonts w:cs="Arial"/>
          <w:color w:val="000000"/>
          <w:szCs w:val="24"/>
        </w:rPr>
        <w:t>).</w:t>
      </w:r>
      <w:r>
        <w:rPr>
          <w:rFonts w:cs="Arial"/>
          <w:color w:val="000000"/>
          <w:szCs w:val="24"/>
        </w:rPr>
        <w:t xml:space="preserve"> </w:t>
      </w:r>
    </w:p>
    <w:p w14:paraId="33631197" w14:textId="77777777" w:rsidR="00C85902" w:rsidRDefault="00C85902" w:rsidP="00697794">
      <w:pPr>
        <w:pStyle w:val="berschrift3"/>
      </w:pPr>
      <w:bookmarkStart w:id="96" w:name="_Toc121158663"/>
      <w:r>
        <w:t>Proteinbestimmung</w:t>
      </w:r>
      <w:bookmarkEnd w:id="96"/>
    </w:p>
    <w:p w14:paraId="7AA6A9CA" w14:textId="02EFD5B1" w:rsidR="00C85902" w:rsidRDefault="00C85902" w:rsidP="00D53E89">
      <w:pPr>
        <w:rPr>
          <w:rFonts w:cs="Arial"/>
          <w:color w:val="000000"/>
          <w:szCs w:val="24"/>
        </w:rPr>
      </w:pPr>
      <w:r>
        <w:rPr>
          <w:rFonts w:cs="Arial"/>
          <w:color w:val="000000"/>
          <w:szCs w:val="24"/>
        </w:rPr>
        <w:t xml:space="preserve">Um die Proteinmenge zu bestimmen, wurden zunächst Reagenz A‘, bestehend aus Reagenz A und S in dem in </w:t>
      </w:r>
      <w:r>
        <w:rPr>
          <w:rFonts w:cs="Arial"/>
          <w:color w:val="000000"/>
          <w:szCs w:val="24"/>
        </w:rPr>
        <w:fldChar w:fldCharType="begin"/>
      </w:r>
      <w:r>
        <w:rPr>
          <w:rFonts w:cs="Arial"/>
          <w:color w:val="000000"/>
          <w:szCs w:val="24"/>
        </w:rPr>
        <w:instrText xml:space="preserve"> REF _Ref120442574 \h </w:instrText>
      </w:r>
      <w:r>
        <w:rPr>
          <w:rFonts w:cs="Arial"/>
          <w:color w:val="000000"/>
          <w:szCs w:val="24"/>
        </w:rPr>
      </w:r>
      <w:r>
        <w:rPr>
          <w:rFonts w:cs="Arial"/>
          <w:color w:val="000000"/>
          <w:szCs w:val="24"/>
        </w:rPr>
        <w:fldChar w:fldCharType="separate"/>
      </w:r>
      <w:r w:rsidR="00791554">
        <w:t xml:space="preserve">Tabelle </w:t>
      </w:r>
      <w:r w:rsidR="00791554">
        <w:rPr>
          <w:noProof/>
        </w:rPr>
        <w:t>14</w:t>
      </w:r>
      <w:r>
        <w:rPr>
          <w:rFonts w:cs="Arial"/>
          <w:color w:val="000000"/>
          <w:szCs w:val="24"/>
        </w:rPr>
        <w:fldChar w:fldCharType="end"/>
      </w:r>
      <w:r>
        <w:rPr>
          <w:rFonts w:cs="Arial"/>
          <w:color w:val="000000"/>
          <w:szCs w:val="24"/>
        </w:rPr>
        <w:t xml:space="preserve"> genannten Verhältnis, in einem Zentrifugationsröhrchen hergestellt. Auch die Menge an Reagenz B wurde mit einer Pipette in ein weiteres Zentrifugationsröhrchen pipettiert. </w:t>
      </w:r>
    </w:p>
    <w:p w14:paraId="66CCA5B6" w14:textId="3BD7A06D" w:rsidR="00C85902" w:rsidRPr="00D53E89" w:rsidRDefault="00C85902" w:rsidP="007E4F48">
      <w:pPr>
        <w:rPr>
          <w:rFonts w:cs="Arial"/>
          <w:color w:val="000000"/>
          <w:szCs w:val="24"/>
        </w:rPr>
      </w:pPr>
      <w:r>
        <w:rPr>
          <w:rFonts w:cs="Arial"/>
          <w:color w:val="000000"/>
          <w:szCs w:val="24"/>
        </w:rPr>
        <w:t>Anschließend wurden die Standards gemischt. Hierfür wurden fünf Zentrifugationsröhrchen mit S1 bis S5 beschriftet und in S1 wurden 70</w:t>
      </w:r>
      <w:r w:rsidRPr="00F553AE">
        <w:rPr>
          <w:w w:val="50"/>
        </w:rPr>
        <w:t> </w:t>
      </w:r>
      <w:r>
        <w:rPr>
          <w:rFonts w:cs="Arial"/>
          <w:color w:val="000000"/>
          <w:szCs w:val="24"/>
        </w:rPr>
        <w:t>µl Stammlösung pipettiert. In die S2 bis S5 wurden jeweils 35</w:t>
      </w:r>
      <w:r w:rsidRPr="00F553AE">
        <w:rPr>
          <w:w w:val="50"/>
        </w:rPr>
        <w:t> </w:t>
      </w:r>
      <w:r>
        <w:rPr>
          <w:rFonts w:cs="Arial"/>
          <w:color w:val="000000"/>
          <w:szCs w:val="24"/>
        </w:rPr>
        <w:t>µl RIPA+ vorgelegt. Dann wurden die unterschiedlichen Konzentrationen hergestellt, indem von S1 beginnend 35</w:t>
      </w:r>
      <w:r w:rsidRPr="00F553AE">
        <w:rPr>
          <w:w w:val="50"/>
        </w:rPr>
        <w:t> </w:t>
      </w:r>
      <w:r>
        <w:rPr>
          <w:rFonts w:cs="Arial"/>
          <w:color w:val="000000"/>
          <w:szCs w:val="24"/>
        </w:rPr>
        <w:t xml:space="preserve">µl in S2 überführt und die Mischung anschließend gevortext wurde. Im Folgenden wurde dieser Prozess von S2 zu S3 über S3 zu S4 bis hin zu S4 zu S5 wiederholt. So ergaben sich die in </w:t>
      </w:r>
      <w:r>
        <w:rPr>
          <w:rFonts w:cs="Arial"/>
          <w:color w:val="000000"/>
          <w:szCs w:val="24"/>
        </w:rPr>
        <w:fldChar w:fldCharType="begin"/>
      </w:r>
      <w:r>
        <w:rPr>
          <w:rFonts w:cs="Arial"/>
          <w:color w:val="000000"/>
          <w:szCs w:val="24"/>
        </w:rPr>
        <w:instrText xml:space="preserve"> REF _Ref84406096 \h </w:instrText>
      </w:r>
      <w:r>
        <w:rPr>
          <w:rFonts w:cs="Arial"/>
          <w:color w:val="000000"/>
          <w:szCs w:val="24"/>
        </w:rPr>
      </w:r>
      <w:r>
        <w:rPr>
          <w:rFonts w:cs="Arial"/>
          <w:color w:val="000000"/>
          <w:szCs w:val="24"/>
        </w:rPr>
        <w:fldChar w:fldCharType="separate"/>
      </w:r>
      <w:r w:rsidR="00791554">
        <w:t xml:space="preserve">Abbildung </w:t>
      </w:r>
      <w:r w:rsidR="00791554">
        <w:rPr>
          <w:noProof/>
        </w:rPr>
        <w:t>5</w:t>
      </w:r>
      <w:r>
        <w:rPr>
          <w:rFonts w:cs="Arial"/>
          <w:color w:val="000000"/>
          <w:szCs w:val="24"/>
        </w:rPr>
        <w:fldChar w:fldCharType="end"/>
      </w:r>
      <w:r>
        <w:rPr>
          <w:rFonts w:cs="Arial"/>
          <w:color w:val="000000"/>
          <w:szCs w:val="24"/>
        </w:rPr>
        <w:t xml:space="preserve"> aufgeführten Konzentrationen.</w:t>
      </w:r>
    </w:p>
    <w:p w14:paraId="53FE36B8" w14:textId="6C1261BE" w:rsidR="00C85902" w:rsidRPr="00487FB4" w:rsidRDefault="00C85902" w:rsidP="007352F7">
      <w:pPr>
        <w:pStyle w:val="Beschriftung"/>
        <w:keepNext/>
        <w:rPr>
          <w:vanish/>
          <w:specVanish/>
        </w:rPr>
      </w:pPr>
      <w:bookmarkStart w:id="97" w:name="_Ref120442574"/>
      <w:bookmarkStart w:id="98" w:name="_Toc120649856"/>
      <w:r>
        <w:t xml:space="preserve">Tabelle </w:t>
      </w:r>
      <w:r>
        <w:fldChar w:fldCharType="begin"/>
      </w:r>
      <w:r>
        <w:instrText xml:space="preserve"> SEQ Tabelle \* ARABIC </w:instrText>
      </w:r>
      <w:r>
        <w:fldChar w:fldCharType="separate"/>
      </w:r>
      <w:r w:rsidR="00791554">
        <w:rPr>
          <w:noProof/>
        </w:rPr>
        <w:t>14</w:t>
      </w:r>
      <w:r>
        <w:rPr>
          <w:noProof/>
        </w:rPr>
        <w:fldChar w:fldCharType="end"/>
      </w:r>
      <w:bookmarkEnd w:id="97"/>
      <w:r>
        <w:t xml:space="preserve"> </w:t>
      </w:r>
      <w:r w:rsidRPr="00421D04">
        <w:t>Western Blot Material für die Proteinbestimmung</w:t>
      </w:r>
      <w:bookmarkEnd w:id="98"/>
      <w:r>
        <w:t xml:space="preserve"> </w:t>
      </w:r>
    </w:p>
    <w:p w14:paraId="5A86177F" w14:textId="77777777" w:rsidR="00C85902" w:rsidRDefault="00C85902" w:rsidP="007352F7">
      <w:pPr>
        <w:pStyle w:val="Beschriftung"/>
        <w:keepNext/>
      </w:pPr>
      <w:r>
        <w:t xml:space="preserve"> </w:t>
      </w:r>
      <w:r>
        <w:br/>
        <w:t>In dieser Tabelle sind die Substanzen zur Ermittlung der Proteinmenge inklusive der Mengenangabe und der Hersteller aufgeführt.</w:t>
      </w:r>
    </w:p>
    <w:tbl>
      <w:tblPr>
        <w:tblStyle w:val="Tabellenraster"/>
        <w:tblW w:w="0" w:type="auto"/>
        <w:tblLook w:val="04A0" w:firstRow="1" w:lastRow="0" w:firstColumn="1" w:lastColumn="0" w:noHBand="0" w:noVBand="1"/>
      </w:tblPr>
      <w:tblGrid>
        <w:gridCol w:w="1096"/>
        <w:gridCol w:w="4257"/>
        <w:gridCol w:w="3141"/>
      </w:tblGrid>
      <w:tr w:rsidR="00C85902" w14:paraId="78DF4CBD" w14:textId="77777777" w:rsidTr="00FD20D4">
        <w:tc>
          <w:tcPr>
            <w:tcW w:w="1096" w:type="dxa"/>
            <w:shd w:val="clear" w:color="auto" w:fill="E7E6E6" w:themeFill="background2"/>
          </w:tcPr>
          <w:p w14:paraId="65403721" w14:textId="77777777" w:rsidR="00C85902" w:rsidRPr="00487FB4" w:rsidRDefault="00C85902" w:rsidP="00FD20D4">
            <w:pPr>
              <w:spacing w:line="240" w:lineRule="auto"/>
              <w:jc w:val="center"/>
              <w:rPr>
                <w:b/>
                <w:bCs/>
                <w:sz w:val="20"/>
                <w:szCs w:val="20"/>
              </w:rPr>
            </w:pPr>
            <w:r w:rsidRPr="00487FB4">
              <w:rPr>
                <w:b/>
                <w:bCs/>
                <w:sz w:val="20"/>
                <w:szCs w:val="20"/>
              </w:rPr>
              <w:t>Menge</w:t>
            </w:r>
          </w:p>
        </w:tc>
        <w:tc>
          <w:tcPr>
            <w:tcW w:w="4257" w:type="dxa"/>
            <w:shd w:val="clear" w:color="auto" w:fill="E7E6E6" w:themeFill="background2"/>
          </w:tcPr>
          <w:p w14:paraId="6B8FDE94" w14:textId="77777777" w:rsidR="00C85902" w:rsidRPr="00487FB4" w:rsidRDefault="00C85902" w:rsidP="00FD20D4">
            <w:pPr>
              <w:spacing w:line="240" w:lineRule="auto"/>
              <w:jc w:val="center"/>
              <w:rPr>
                <w:b/>
                <w:bCs/>
                <w:sz w:val="20"/>
                <w:szCs w:val="20"/>
              </w:rPr>
            </w:pPr>
            <w:r w:rsidRPr="00487FB4">
              <w:rPr>
                <w:b/>
                <w:bCs/>
                <w:sz w:val="20"/>
                <w:szCs w:val="20"/>
              </w:rPr>
              <w:t>Name</w:t>
            </w:r>
          </w:p>
        </w:tc>
        <w:tc>
          <w:tcPr>
            <w:tcW w:w="3141" w:type="dxa"/>
            <w:shd w:val="clear" w:color="auto" w:fill="E7E6E6" w:themeFill="background2"/>
          </w:tcPr>
          <w:p w14:paraId="095ABBB2" w14:textId="77777777" w:rsidR="00C85902" w:rsidRPr="00487FB4" w:rsidRDefault="00C85902" w:rsidP="00FD20D4">
            <w:pPr>
              <w:spacing w:line="240" w:lineRule="auto"/>
              <w:jc w:val="center"/>
              <w:rPr>
                <w:b/>
                <w:bCs/>
                <w:sz w:val="20"/>
                <w:szCs w:val="20"/>
              </w:rPr>
            </w:pPr>
            <w:r w:rsidRPr="00487FB4">
              <w:rPr>
                <w:b/>
                <w:bCs/>
                <w:sz w:val="20"/>
                <w:szCs w:val="20"/>
              </w:rPr>
              <w:t>Hersteller</w:t>
            </w:r>
          </w:p>
        </w:tc>
      </w:tr>
      <w:tr w:rsidR="00C85902" w:rsidRPr="007E4F48" w14:paraId="066D4F11" w14:textId="77777777" w:rsidTr="00AC14A3">
        <w:tc>
          <w:tcPr>
            <w:tcW w:w="1096" w:type="dxa"/>
          </w:tcPr>
          <w:p w14:paraId="298FEDE4" w14:textId="77777777" w:rsidR="00C85902" w:rsidRPr="00487FB4" w:rsidRDefault="00C85902" w:rsidP="00487FB4">
            <w:pPr>
              <w:spacing w:line="240" w:lineRule="auto"/>
              <w:rPr>
                <w:sz w:val="20"/>
                <w:szCs w:val="20"/>
                <w:lang w:val="en-GB"/>
              </w:rPr>
            </w:pPr>
          </w:p>
        </w:tc>
        <w:tc>
          <w:tcPr>
            <w:tcW w:w="4257" w:type="dxa"/>
          </w:tcPr>
          <w:p w14:paraId="11A607CB" w14:textId="77777777" w:rsidR="00C85902" w:rsidRPr="00487FB4" w:rsidRDefault="00C85902" w:rsidP="00487FB4">
            <w:pPr>
              <w:spacing w:line="240" w:lineRule="auto"/>
              <w:rPr>
                <w:sz w:val="20"/>
                <w:szCs w:val="20"/>
              </w:rPr>
            </w:pPr>
            <w:r w:rsidRPr="00487FB4">
              <w:rPr>
                <w:sz w:val="20"/>
                <w:szCs w:val="20"/>
              </w:rPr>
              <w:t>DC Protein Assay Kit II, einschließlich BSA Standard</w:t>
            </w:r>
          </w:p>
        </w:tc>
        <w:tc>
          <w:tcPr>
            <w:tcW w:w="3141" w:type="dxa"/>
          </w:tcPr>
          <w:p w14:paraId="2985A08F" w14:textId="77777777" w:rsidR="00C85902" w:rsidRPr="00487FB4" w:rsidRDefault="00C85902" w:rsidP="009D19C9">
            <w:pPr>
              <w:spacing w:line="240" w:lineRule="auto"/>
              <w:jc w:val="center"/>
              <w:rPr>
                <w:sz w:val="20"/>
                <w:szCs w:val="20"/>
              </w:rPr>
            </w:pPr>
            <w:r w:rsidRPr="00487FB4">
              <w:rPr>
                <w:sz w:val="20"/>
                <w:szCs w:val="20"/>
              </w:rPr>
              <w:t>BIORAD REF (Cat.nr. 500-0112)</w:t>
            </w:r>
          </w:p>
        </w:tc>
      </w:tr>
      <w:tr w:rsidR="00C85902" w:rsidRPr="007E4F48" w14:paraId="2752B0D8" w14:textId="77777777" w:rsidTr="00AC14A3">
        <w:tc>
          <w:tcPr>
            <w:tcW w:w="1096" w:type="dxa"/>
          </w:tcPr>
          <w:p w14:paraId="2A7EECBC" w14:textId="77777777" w:rsidR="00C85902" w:rsidRPr="00487FB4" w:rsidRDefault="00C85902" w:rsidP="00487FB4">
            <w:pPr>
              <w:spacing w:line="240" w:lineRule="auto"/>
              <w:rPr>
                <w:sz w:val="20"/>
                <w:szCs w:val="20"/>
              </w:rPr>
            </w:pPr>
            <w:r w:rsidRPr="00487FB4">
              <w:rPr>
                <w:sz w:val="20"/>
                <w:szCs w:val="20"/>
              </w:rPr>
              <w:t>70</w:t>
            </w:r>
            <w:r w:rsidRPr="00487FB4">
              <w:rPr>
                <w:w w:val="50"/>
                <w:sz w:val="20"/>
                <w:szCs w:val="20"/>
              </w:rPr>
              <w:t> </w:t>
            </w:r>
            <w:r w:rsidRPr="00487FB4">
              <w:rPr>
                <w:rFonts w:cs="Arial"/>
                <w:sz w:val="20"/>
                <w:szCs w:val="20"/>
              </w:rPr>
              <w:t>µl</w:t>
            </w:r>
          </w:p>
        </w:tc>
        <w:tc>
          <w:tcPr>
            <w:tcW w:w="4257" w:type="dxa"/>
          </w:tcPr>
          <w:p w14:paraId="624CAC8E" w14:textId="77777777" w:rsidR="00C85902" w:rsidRPr="00487FB4" w:rsidRDefault="00C85902" w:rsidP="00487FB4">
            <w:pPr>
              <w:spacing w:line="240" w:lineRule="auto"/>
              <w:rPr>
                <w:sz w:val="20"/>
                <w:szCs w:val="20"/>
              </w:rPr>
            </w:pPr>
            <w:r w:rsidRPr="00487FB4">
              <w:rPr>
                <w:sz w:val="20"/>
                <w:szCs w:val="20"/>
              </w:rPr>
              <w:t>Stammlösung (3,04</w:t>
            </w:r>
            <w:r w:rsidRPr="00487FB4">
              <w:rPr>
                <w:w w:val="50"/>
                <w:sz w:val="20"/>
                <w:szCs w:val="20"/>
              </w:rPr>
              <w:t> </w:t>
            </w:r>
            <w:r w:rsidRPr="00487FB4">
              <w:rPr>
                <w:sz w:val="20"/>
                <w:szCs w:val="20"/>
              </w:rPr>
              <w:t>mg/ml), bestehend aus BIORAD, BSA in 10</w:t>
            </w:r>
            <w:r w:rsidRPr="00487FB4">
              <w:rPr>
                <w:w w:val="50"/>
                <w:sz w:val="20"/>
                <w:szCs w:val="20"/>
              </w:rPr>
              <w:t> </w:t>
            </w:r>
            <w:r w:rsidRPr="00487FB4">
              <w:rPr>
                <w:sz w:val="20"/>
                <w:szCs w:val="20"/>
              </w:rPr>
              <w:t>ml AMPUWA-Wasser gelöst und bei -20°C gelagert</w:t>
            </w:r>
          </w:p>
        </w:tc>
        <w:tc>
          <w:tcPr>
            <w:tcW w:w="3141" w:type="dxa"/>
          </w:tcPr>
          <w:p w14:paraId="3284AFA2" w14:textId="77777777" w:rsidR="00C85902" w:rsidRPr="00487FB4" w:rsidRDefault="00C85902" w:rsidP="009D19C9">
            <w:pPr>
              <w:spacing w:line="240" w:lineRule="auto"/>
              <w:jc w:val="center"/>
              <w:rPr>
                <w:sz w:val="20"/>
                <w:szCs w:val="20"/>
              </w:rPr>
            </w:pPr>
          </w:p>
        </w:tc>
      </w:tr>
      <w:tr w:rsidR="00C85902" w:rsidRPr="007E4F48" w14:paraId="6BE54154" w14:textId="77777777" w:rsidTr="00AC14A3">
        <w:tc>
          <w:tcPr>
            <w:tcW w:w="1096" w:type="dxa"/>
          </w:tcPr>
          <w:p w14:paraId="2A5723E3" w14:textId="77777777" w:rsidR="00C85902" w:rsidRPr="00487FB4" w:rsidRDefault="00C85902" w:rsidP="00487FB4">
            <w:pPr>
              <w:spacing w:line="240" w:lineRule="auto"/>
              <w:rPr>
                <w:sz w:val="20"/>
                <w:szCs w:val="20"/>
              </w:rPr>
            </w:pPr>
          </w:p>
        </w:tc>
        <w:tc>
          <w:tcPr>
            <w:tcW w:w="4257" w:type="dxa"/>
          </w:tcPr>
          <w:p w14:paraId="6C089800" w14:textId="77777777" w:rsidR="00C85902" w:rsidRPr="00487FB4" w:rsidRDefault="00C85902" w:rsidP="00487FB4">
            <w:pPr>
              <w:spacing w:line="240" w:lineRule="auto"/>
              <w:rPr>
                <w:sz w:val="20"/>
                <w:szCs w:val="20"/>
              </w:rPr>
            </w:pPr>
            <w:r w:rsidRPr="00487FB4">
              <w:rPr>
                <w:sz w:val="20"/>
                <w:szCs w:val="20"/>
              </w:rPr>
              <w:t>Ampuwa</w:t>
            </w:r>
          </w:p>
        </w:tc>
        <w:tc>
          <w:tcPr>
            <w:tcW w:w="3141" w:type="dxa"/>
          </w:tcPr>
          <w:p w14:paraId="20BC1E5B" w14:textId="77777777" w:rsidR="00C85902" w:rsidRPr="00487FB4" w:rsidRDefault="00C85902" w:rsidP="009D19C9">
            <w:pPr>
              <w:spacing w:line="240" w:lineRule="auto"/>
              <w:jc w:val="center"/>
              <w:rPr>
                <w:sz w:val="20"/>
                <w:szCs w:val="20"/>
              </w:rPr>
            </w:pPr>
            <w:r w:rsidRPr="00487FB4">
              <w:rPr>
                <w:sz w:val="20"/>
                <w:szCs w:val="20"/>
              </w:rPr>
              <w:t>Fresenius REF 7151-5</w:t>
            </w:r>
          </w:p>
        </w:tc>
      </w:tr>
      <w:tr w:rsidR="00C85902" w:rsidRPr="00600BBD" w14:paraId="243884F2" w14:textId="77777777" w:rsidTr="00AC14A3">
        <w:tc>
          <w:tcPr>
            <w:tcW w:w="1096" w:type="dxa"/>
          </w:tcPr>
          <w:p w14:paraId="55081D2A" w14:textId="77777777" w:rsidR="00C85902" w:rsidRPr="00487FB4" w:rsidRDefault="00C85902" w:rsidP="00487FB4">
            <w:pPr>
              <w:spacing w:line="240" w:lineRule="auto"/>
              <w:rPr>
                <w:sz w:val="20"/>
                <w:szCs w:val="20"/>
              </w:rPr>
            </w:pPr>
          </w:p>
        </w:tc>
        <w:tc>
          <w:tcPr>
            <w:tcW w:w="4257" w:type="dxa"/>
          </w:tcPr>
          <w:p w14:paraId="3353B298" w14:textId="77777777" w:rsidR="00C85902" w:rsidRPr="00487FB4" w:rsidRDefault="00C85902" w:rsidP="00487FB4">
            <w:pPr>
              <w:spacing w:line="240" w:lineRule="auto"/>
              <w:rPr>
                <w:sz w:val="20"/>
                <w:szCs w:val="20"/>
              </w:rPr>
            </w:pPr>
            <w:r w:rsidRPr="00487FB4">
              <w:rPr>
                <w:sz w:val="20"/>
                <w:szCs w:val="20"/>
              </w:rPr>
              <w:t>RIPA</w:t>
            </w:r>
            <w:r>
              <w:rPr>
                <w:sz w:val="20"/>
                <w:szCs w:val="20"/>
              </w:rPr>
              <w:t>(</w:t>
            </w:r>
            <w:r w:rsidRPr="00487FB4">
              <w:rPr>
                <w:sz w:val="20"/>
                <w:szCs w:val="20"/>
              </w:rPr>
              <w:t>+</w:t>
            </w:r>
            <w:r>
              <w:rPr>
                <w:sz w:val="20"/>
                <w:szCs w:val="20"/>
              </w:rPr>
              <w:t>)</w:t>
            </w:r>
            <w:r w:rsidRPr="00487FB4">
              <w:rPr>
                <w:sz w:val="20"/>
                <w:szCs w:val="20"/>
              </w:rPr>
              <w:t xml:space="preserve"> (Lysepuffer, bestehend aus 10</w:t>
            </w:r>
            <w:r w:rsidRPr="00487FB4">
              <w:rPr>
                <w:w w:val="50"/>
                <w:sz w:val="20"/>
                <w:szCs w:val="20"/>
              </w:rPr>
              <w:t> </w:t>
            </w:r>
            <w:r w:rsidRPr="00487FB4">
              <w:rPr>
                <w:sz w:val="20"/>
                <w:szCs w:val="20"/>
              </w:rPr>
              <w:t>ml Ripa</w:t>
            </w:r>
            <w:r>
              <w:rPr>
                <w:sz w:val="20"/>
                <w:szCs w:val="20"/>
              </w:rPr>
              <w:t>(</w:t>
            </w:r>
            <w:r w:rsidRPr="00487FB4">
              <w:rPr>
                <w:sz w:val="20"/>
                <w:szCs w:val="20"/>
              </w:rPr>
              <w:t>-</w:t>
            </w:r>
            <w:r>
              <w:rPr>
                <w:sz w:val="20"/>
                <w:szCs w:val="20"/>
              </w:rPr>
              <w:t>)</w:t>
            </w:r>
            <w:r w:rsidRPr="00487FB4">
              <w:rPr>
                <w:sz w:val="20"/>
                <w:szCs w:val="20"/>
              </w:rPr>
              <w:t xml:space="preserve"> </w:t>
            </w:r>
            <w:r w:rsidRPr="00487FB4">
              <w:rPr>
                <w:color w:val="FF0000"/>
                <w:sz w:val="20"/>
                <w:szCs w:val="20"/>
              </w:rPr>
              <w:t xml:space="preserve"> </w:t>
            </w:r>
            <w:r w:rsidRPr="00487FB4">
              <w:rPr>
                <w:sz w:val="20"/>
                <w:szCs w:val="20"/>
              </w:rPr>
              <w:t>versetzt mit 50</w:t>
            </w:r>
            <w:r w:rsidRPr="00487FB4">
              <w:rPr>
                <w:w w:val="50"/>
                <w:sz w:val="20"/>
                <w:szCs w:val="20"/>
              </w:rPr>
              <w:t> </w:t>
            </w:r>
            <w:r w:rsidRPr="00487FB4">
              <w:rPr>
                <w:rFonts w:cs="Arial"/>
                <w:sz w:val="20"/>
                <w:szCs w:val="20"/>
              </w:rPr>
              <w:t>µl PMSF)</w:t>
            </w:r>
          </w:p>
        </w:tc>
        <w:tc>
          <w:tcPr>
            <w:tcW w:w="3141" w:type="dxa"/>
          </w:tcPr>
          <w:p w14:paraId="2CF73EFF" w14:textId="77777777" w:rsidR="00C85902" w:rsidRPr="00487FB4" w:rsidRDefault="00C85902" w:rsidP="009D19C9">
            <w:pPr>
              <w:spacing w:line="240" w:lineRule="auto"/>
              <w:jc w:val="center"/>
              <w:rPr>
                <w:sz w:val="20"/>
                <w:szCs w:val="20"/>
                <w:lang w:val="en-GB"/>
              </w:rPr>
            </w:pPr>
            <w:r w:rsidRPr="00487FB4">
              <w:rPr>
                <w:sz w:val="20"/>
                <w:szCs w:val="20"/>
                <w:lang w:val="en-GB"/>
              </w:rPr>
              <w:t>CC Pro REF PL-25-M</w:t>
            </w:r>
          </w:p>
        </w:tc>
      </w:tr>
      <w:tr w:rsidR="00C85902" w:rsidRPr="007E4F48" w14:paraId="07B3B3EC" w14:textId="77777777" w:rsidTr="00AC14A3">
        <w:tc>
          <w:tcPr>
            <w:tcW w:w="1096" w:type="dxa"/>
          </w:tcPr>
          <w:p w14:paraId="2750F642" w14:textId="77777777" w:rsidR="00C85902" w:rsidRPr="00487FB4" w:rsidRDefault="00C85902" w:rsidP="00487FB4">
            <w:pPr>
              <w:spacing w:line="240" w:lineRule="auto"/>
              <w:rPr>
                <w:sz w:val="20"/>
                <w:szCs w:val="20"/>
              </w:rPr>
            </w:pPr>
            <w:r w:rsidRPr="00487FB4">
              <w:rPr>
                <w:sz w:val="20"/>
                <w:szCs w:val="20"/>
              </w:rPr>
              <w:t>25</w:t>
            </w:r>
            <w:r w:rsidRPr="00487FB4">
              <w:rPr>
                <w:w w:val="50"/>
                <w:sz w:val="20"/>
                <w:szCs w:val="20"/>
              </w:rPr>
              <w:t> </w:t>
            </w:r>
            <w:r w:rsidRPr="00487FB4">
              <w:rPr>
                <w:rFonts w:cs="Arial"/>
                <w:sz w:val="20"/>
                <w:szCs w:val="20"/>
              </w:rPr>
              <w:t>µl</w:t>
            </w:r>
            <w:r w:rsidRPr="00487FB4">
              <w:rPr>
                <w:sz w:val="20"/>
                <w:szCs w:val="20"/>
              </w:rPr>
              <w:t xml:space="preserve"> pro Well</w:t>
            </w:r>
          </w:p>
        </w:tc>
        <w:tc>
          <w:tcPr>
            <w:tcW w:w="4257" w:type="dxa"/>
          </w:tcPr>
          <w:p w14:paraId="6803FA3F" w14:textId="77777777" w:rsidR="00C85902" w:rsidRPr="00487FB4" w:rsidRDefault="00C85902" w:rsidP="00487FB4">
            <w:pPr>
              <w:spacing w:line="240" w:lineRule="auto"/>
              <w:rPr>
                <w:sz w:val="20"/>
                <w:szCs w:val="20"/>
              </w:rPr>
            </w:pPr>
            <w:r w:rsidRPr="00487FB4">
              <w:rPr>
                <w:sz w:val="20"/>
                <w:szCs w:val="20"/>
              </w:rPr>
              <w:t>Reagenz A</w:t>
            </w:r>
            <w:r w:rsidRPr="00487FB4">
              <w:rPr>
                <w:b/>
                <w:bCs/>
                <w:sz w:val="20"/>
                <w:szCs w:val="20"/>
              </w:rPr>
              <w:t>‘</w:t>
            </w:r>
            <w:r w:rsidRPr="00487FB4">
              <w:rPr>
                <w:sz w:val="20"/>
                <w:szCs w:val="20"/>
              </w:rPr>
              <w:t xml:space="preserve"> (Mischung aus 20</w:t>
            </w:r>
            <w:r w:rsidRPr="00487FB4">
              <w:rPr>
                <w:w w:val="50"/>
                <w:sz w:val="20"/>
                <w:szCs w:val="20"/>
              </w:rPr>
              <w:t> </w:t>
            </w:r>
            <w:r w:rsidRPr="00487FB4">
              <w:rPr>
                <w:rFonts w:cs="Arial"/>
                <w:sz w:val="20"/>
                <w:szCs w:val="20"/>
              </w:rPr>
              <w:t>µl DC Protein Assay (Reagent S)</w:t>
            </w:r>
            <w:r w:rsidRPr="00487FB4">
              <w:rPr>
                <w:color w:val="000000" w:themeColor="text1"/>
                <w:sz w:val="20"/>
                <w:szCs w:val="20"/>
              </w:rPr>
              <w:br/>
              <w:t xml:space="preserve">pro </w:t>
            </w:r>
            <w:r w:rsidRPr="00487FB4">
              <w:rPr>
                <w:sz w:val="20"/>
                <w:szCs w:val="20"/>
              </w:rPr>
              <w:t>1</w:t>
            </w:r>
            <w:r w:rsidRPr="00487FB4">
              <w:rPr>
                <w:w w:val="50"/>
                <w:sz w:val="20"/>
                <w:szCs w:val="20"/>
              </w:rPr>
              <w:t> </w:t>
            </w:r>
            <w:r w:rsidRPr="00487FB4">
              <w:rPr>
                <w:sz w:val="20"/>
                <w:szCs w:val="20"/>
              </w:rPr>
              <w:t>ml DC Assay Reagent A</w:t>
            </w:r>
          </w:p>
        </w:tc>
        <w:tc>
          <w:tcPr>
            <w:tcW w:w="3141" w:type="dxa"/>
          </w:tcPr>
          <w:p w14:paraId="7BA42C88" w14:textId="77777777" w:rsidR="00C85902" w:rsidRPr="00487FB4" w:rsidRDefault="00C85902" w:rsidP="009D19C9">
            <w:pPr>
              <w:spacing w:line="240" w:lineRule="auto"/>
              <w:jc w:val="center"/>
              <w:rPr>
                <w:sz w:val="20"/>
                <w:szCs w:val="20"/>
              </w:rPr>
            </w:pPr>
          </w:p>
          <w:p w14:paraId="644D61F4" w14:textId="77777777" w:rsidR="00C85902" w:rsidRPr="00487FB4" w:rsidRDefault="00C85902" w:rsidP="009D19C9">
            <w:pPr>
              <w:spacing w:line="240" w:lineRule="auto"/>
              <w:jc w:val="center"/>
              <w:rPr>
                <w:sz w:val="20"/>
                <w:szCs w:val="20"/>
              </w:rPr>
            </w:pPr>
            <w:r w:rsidRPr="00487FB4">
              <w:rPr>
                <w:sz w:val="20"/>
                <w:szCs w:val="20"/>
              </w:rPr>
              <w:t>BIORAD REF 10000046270</w:t>
            </w:r>
            <w:r w:rsidRPr="00487FB4">
              <w:rPr>
                <w:sz w:val="20"/>
                <w:szCs w:val="20"/>
              </w:rPr>
              <w:br/>
              <w:t>BIORAD REF 10000047350</w:t>
            </w:r>
          </w:p>
        </w:tc>
      </w:tr>
      <w:tr w:rsidR="00C85902" w:rsidRPr="007E4F48" w14:paraId="338E2E5F" w14:textId="77777777" w:rsidTr="00AC14A3">
        <w:tc>
          <w:tcPr>
            <w:tcW w:w="1096" w:type="dxa"/>
          </w:tcPr>
          <w:p w14:paraId="140A15E4" w14:textId="77777777" w:rsidR="00C85902" w:rsidRPr="00487FB4" w:rsidRDefault="00C85902" w:rsidP="00487FB4">
            <w:pPr>
              <w:spacing w:line="240" w:lineRule="auto"/>
              <w:rPr>
                <w:sz w:val="20"/>
                <w:szCs w:val="20"/>
              </w:rPr>
            </w:pPr>
            <w:r w:rsidRPr="00487FB4">
              <w:rPr>
                <w:sz w:val="20"/>
                <w:szCs w:val="20"/>
                <w:lang w:val="en-GB"/>
              </w:rPr>
              <w:t>200</w:t>
            </w:r>
            <w:r w:rsidRPr="00487FB4">
              <w:rPr>
                <w:w w:val="50"/>
                <w:sz w:val="20"/>
                <w:szCs w:val="20"/>
                <w:lang w:val="en-GB"/>
              </w:rPr>
              <w:t> </w:t>
            </w:r>
            <w:r w:rsidRPr="00487FB4">
              <w:rPr>
                <w:rFonts w:cs="Arial"/>
                <w:sz w:val="20"/>
                <w:szCs w:val="20"/>
                <w:lang w:val="en-GB"/>
              </w:rPr>
              <w:t>µl</w:t>
            </w:r>
            <w:r w:rsidRPr="00487FB4">
              <w:rPr>
                <w:sz w:val="20"/>
                <w:szCs w:val="20"/>
                <w:lang w:val="en-GB"/>
              </w:rPr>
              <w:t xml:space="preserve"> pro Well</w:t>
            </w:r>
          </w:p>
        </w:tc>
        <w:tc>
          <w:tcPr>
            <w:tcW w:w="4257" w:type="dxa"/>
          </w:tcPr>
          <w:p w14:paraId="61F6854C" w14:textId="77777777" w:rsidR="00C85902" w:rsidRPr="00487FB4" w:rsidRDefault="00C85902" w:rsidP="00487FB4">
            <w:pPr>
              <w:spacing w:line="240" w:lineRule="auto"/>
              <w:rPr>
                <w:sz w:val="20"/>
                <w:szCs w:val="20"/>
                <w:lang w:val="en-GB"/>
              </w:rPr>
            </w:pPr>
            <w:r w:rsidRPr="00487FB4">
              <w:rPr>
                <w:sz w:val="20"/>
                <w:szCs w:val="20"/>
                <w:lang w:val="en-GB"/>
              </w:rPr>
              <w:t>DC</w:t>
            </w:r>
            <w:r w:rsidRPr="00487FB4">
              <w:rPr>
                <w:sz w:val="20"/>
                <w:szCs w:val="20"/>
                <w:vertAlign w:val="superscript"/>
                <w:lang w:val="en-GB"/>
              </w:rPr>
              <w:t>TM</w:t>
            </w:r>
            <w:r w:rsidRPr="00487FB4">
              <w:rPr>
                <w:sz w:val="20"/>
                <w:szCs w:val="20"/>
                <w:lang w:val="en-GB"/>
              </w:rPr>
              <w:t xml:space="preserve"> Protein Assay Reagent B</w:t>
            </w:r>
            <w:r w:rsidRPr="00487FB4">
              <w:rPr>
                <w:color w:val="FF0000"/>
                <w:sz w:val="20"/>
                <w:szCs w:val="20"/>
                <w:lang w:val="en-GB"/>
              </w:rPr>
              <w:t xml:space="preserve"> </w:t>
            </w:r>
          </w:p>
        </w:tc>
        <w:tc>
          <w:tcPr>
            <w:tcW w:w="3141" w:type="dxa"/>
          </w:tcPr>
          <w:p w14:paraId="49649AA9" w14:textId="77777777" w:rsidR="00C85902" w:rsidRPr="00487FB4" w:rsidRDefault="00C85902" w:rsidP="009D19C9">
            <w:pPr>
              <w:keepNext/>
              <w:spacing w:line="240" w:lineRule="auto"/>
              <w:jc w:val="center"/>
              <w:rPr>
                <w:sz w:val="20"/>
                <w:szCs w:val="20"/>
                <w:lang w:val="en-GB"/>
              </w:rPr>
            </w:pPr>
            <w:r w:rsidRPr="00487FB4">
              <w:rPr>
                <w:sz w:val="20"/>
                <w:szCs w:val="20"/>
                <w:lang w:val="en-GB"/>
              </w:rPr>
              <w:t>BIORAD REF 10000044069</w:t>
            </w:r>
          </w:p>
        </w:tc>
      </w:tr>
      <w:tr w:rsidR="00C85902" w:rsidRPr="00C56492" w14:paraId="6B3B8B29" w14:textId="77777777" w:rsidTr="00AC14A3">
        <w:tc>
          <w:tcPr>
            <w:tcW w:w="1096" w:type="dxa"/>
          </w:tcPr>
          <w:p w14:paraId="7095B858" w14:textId="77777777" w:rsidR="00C85902" w:rsidRPr="00487FB4" w:rsidRDefault="00C85902" w:rsidP="00487FB4">
            <w:pPr>
              <w:spacing w:line="240" w:lineRule="auto"/>
              <w:rPr>
                <w:sz w:val="20"/>
                <w:szCs w:val="20"/>
                <w:lang w:val="en-GB"/>
              </w:rPr>
            </w:pPr>
            <w:r w:rsidRPr="00487FB4">
              <w:rPr>
                <w:sz w:val="20"/>
                <w:szCs w:val="20"/>
                <w:lang w:val="en-GB"/>
              </w:rPr>
              <w:t>1,5</w:t>
            </w:r>
            <w:r w:rsidRPr="00487FB4">
              <w:rPr>
                <w:w w:val="50"/>
                <w:sz w:val="20"/>
                <w:szCs w:val="20"/>
              </w:rPr>
              <w:t> </w:t>
            </w:r>
            <w:r w:rsidRPr="00487FB4">
              <w:rPr>
                <w:sz w:val="20"/>
                <w:szCs w:val="20"/>
                <w:lang w:val="en-GB"/>
              </w:rPr>
              <w:t>ml</w:t>
            </w:r>
          </w:p>
        </w:tc>
        <w:tc>
          <w:tcPr>
            <w:tcW w:w="4257" w:type="dxa"/>
          </w:tcPr>
          <w:p w14:paraId="3ACDECE6" w14:textId="77777777" w:rsidR="00C85902" w:rsidRPr="00487FB4" w:rsidRDefault="00C85902" w:rsidP="00487FB4">
            <w:pPr>
              <w:spacing w:line="240" w:lineRule="auto"/>
              <w:rPr>
                <w:sz w:val="20"/>
                <w:szCs w:val="20"/>
              </w:rPr>
            </w:pPr>
            <w:r w:rsidRPr="00487FB4">
              <w:rPr>
                <w:sz w:val="20"/>
                <w:szCs w:val="20"/>
              </w:rPr>
              <w:t>Lämmli Puffer mit ME</w:t>
            </w:r>
          </w:p>
          <w:p w14:paraId="090600CF" w14:textId="77777777" w:rsidR="00C85902" w:rsidRPr="00487FB4" w:rsidRDefault="00C85902" w:rsidP="00487FB4">
            <w:pPr>
              <w:spacing w:line="240" w:lineRule="auto"/>
              <w:rPr>
                <w:sz w:val="20"/>
                <w:szCs w:val="20"/>
                <w:lang w:val="en-GB"/>
              </w:rPr>
            </w:pPr>
            <w:r w:rsidRPr="00487FB4">
              <w:rPr>
                <w:sz w:val="20"/>
                <w:szCs w:val="20"/>
                <w:lang w:val="en-GB"/>
              </w:rPr>
              <w:t>(pro 100</w:t>
            </w:r>
            <w:r w:rsidRPr="00487FB4">
              <w:rPr>
                <w:w w:val="50"/>
                <w:sz w:val="20"/>
                <w:szCs w:val="20"/>
                <w:lang w:val="en-GB"/>
              </w:rPr>
              <w:t> </w:t>
            </w:r>
            <w:r w:rsidRPr="00487FB4">
              <w:rPr>
                <w:rFonts w:cs="Arial"/>
                <w:sz w:val="20"/>
                <w:szCs w:val="20"/>
                <w:lang w:val="en-GB"/>
              </w:rPr>
              <w:t>µl Lämmli</w:t>
            </w:r>
            <w:r w:rsidRPr="00487FB4">
              <w:rPr>
                <w:rFonts w:cs="Arial"/>
                <w:color w:val="FF0000"/>
                <w:sz w:val="20"/>
                <w:szCs w:val="20"/>
                <w:lang w:val="en-GB"/>
              </w:rPr>
              <w:br/>
            </w:r>
            <w:r w:rsidRPr="00487FB4">
              <w:rPr>
                <w:rFonts w:cs="Arial"/>
                <w:sz w:val="20"/>
                <w:szCs w:val="20"/>
                <w:lang w:val="en-GB"/>
              </w:rPr>
              <w:t>5</w:t>
            </w:r>
            <w:r w:rsidRPr="00487FB4">
              <w:rPr>
                <w:w w:val="50"/>
                <w:sz w:val="20"/>
                <w:szCs w:val="20"/>
                <w:lang w:val="en-GB"/>
              </w:rPr>
              <w:t> </w:t>
            </w:r>
            <w:r w:rsidRPr="00487FB4">
              <w:rPr>
                <w:rFonts w:cs="Arial"/>
                <w:sz w:val="20"/>
                <w:szCs w:val="20"/>
                <w:lang w:val="en-GB"/>
              </w:rPr>
              <w:t xml:space="preserve">µl Mercaptoethanol </w:t>
            </w:r>
          </w:p>
        </w:tc>
        <w:tc>
          <w:tcPr>
            <w:tcW w:w="3141" w:type="dxa"/>
          </w:tcPr>
          <w:p w14:paraId="4659C317" w14:textId="77777777" w:rsidR="00C85902" w:rsidRPr="00487FB4" w:rsidRDefault="00C85902" w:rsidP="009D19C9">
            <w:pPr>
              <w:keepNext/>
              <w:spacing w:line="240" w:lineRule="auto"/>
              <w:jc w:val="center"/>
              <w:rPr>
                <w:rFonts w:cs="Arial"/>
                <w:color w:val="FF0000"/>
                <w:sz w:val="20"/>
                <w:szCs w:val="20"/>
                <w:lang w:val="en-GB"/>
              </w:rPr>
            </w:pPr>
          </w:p>
          <w:p w14:paraId="7C9E248A" w14:textId="77777777" w:rsidR="00C85902" w:rsidRPr="00487FB4" w:rsidRDefault="00C85902" w:rsidP="009D19C9">
            <w:pPr>
              <w:keepNext/>
              <w:spacing w:line="240" w:lineRule="auto"/>
              <w:jc w:val="center"/>
              <w:rPr>
                <w:rFonts w:cs="Arial"/>
                <w:color w:val="FF0000"/>
                <w:sz w:val="20"/>
                <w:szCs w:val="20"/>
                <w:lang w:val="en-GB"/>
              </w:rPr>
            </w:pPr>
          </w:p>
          <w:p w14:paraId="59ECC482" w14:textId="77777777" w:rsidR="00C85902" w:rsidRPr="00487FB4" w:rsidRDefault="00C85902" w:rsidP="009D19C9">
            <w:pPr>
              <w:keepNext/>
              <w:spacing w:line="240" w:lineRule="auto"/>
              <w:jc w:val="center"/>
              <w:rPr>
                <w:color w:val="000000" w:themeColor="text1"/>
                <w:sz w:val="20"/>
                <w:szCs w:val="20"/>
                <w:lang w:val="en-GB"/>
              </w:rPr>
            </w:pPr>
            <w:r w:rsidRPr="00487FB4">
              <w:rPr>
                <w:rFonts w:cs="Arial"/>
                <w:color w:val="000000" w:themeColor="text1"/>
                <w:sz w:val="20"/>
                <w:szCs w:val="20"/>
                <w:lang w:val="en-GB"/>
              </w:rPr>
              <w:t>(Sigma-Aldrich)</w:t>
            </w:r>
          </w:p>
        </w:tc>
      </w:tr>
      <w:tr w:rsidR="00C85902" w:rsidRPr="00C56492" w14:paraId="0D221A77" w14:textId="77777777" w:rsidTr="00AC14A3">
        <w:tc>
          <w:tcPr>
            <w:tcW w:w="1096" w:type="dxa"/>
          </w:tcPr>
          <w:p w14:paraId="66569F39" w14:textId="77777777" w:rsidR="00C85902" w:rsidRPr="00487FB4" w:rsidRDefault="00C85902" w:rsidP="00487FB4">
            <w:pPr>
              <w:spacing w:line="240" w:lineRule="auto"/>
              <w:rPr>
                <w:sz w:val="20"/>
                <w:szCs w:val="20"/>
                <w:lang w:val="en-GB"/>
              </w:rPr>
            </w:pPr>
          </w:p>
        </w:tc>
        <w:tc>
          <w:tcPr>
            <w:tcW w:w="4257" w:type="dxa"/>
          </w:tcPr>
          <w:p w14:paraId="24274D50" w14:textId="77777777" w:rsidR="00C85902" w:rsidRPr="00487FB4" w:rsidRDefault="00C85902" w:rsidP="00487FB4">
            <w:pPr>
              <w:spacing w:line="240" w:lineRule="auto"/>
              <w:rPr>
                <w:sz w:val="20"/>
                <w:szCs w:val="20"/>
              </w:rPr>
            </w:pPr>
            <w:r>
              <w:rPr>
                <w:sz w:val="20"/>
                <w:szCs w:val="20"/>
              </w:rPr>
              <w:t xml:space="preserve">Lämmli: </w:t>
            </w:r>
            <w:r>
              <w:rPr>
                <w:sz w:val="20"/>
                <w:szCs w:val="20"/>
              </w:rPr>
              <w:br/>
              <w:t xml:space="preserve">   -Tris Ultra Pure </w:t>
            </w:r>
            <w:r>
              <w:rPr>
                <w:sz w:val="20"/>
                <w:szCs w:val="20"/>
              </w:rPr>
              <w:br/>
              <w:t xml:space="preserve">   -Glycerin</w:t>
            </w:r>
            <w:r>
              <w:rPr>
                <w:sz w:val="20"/>
                <w:szCs w:val="20"/>
              </w:rPr>
              <w:br/>
              <w:t xml:space="preserve">   -SDS</w:t>
            </w:r>
            <w:r>
              <w:rPr>
                <w:sz w:val="20"/>
                <w:szCs w:val="20"/>
              </w:rPr>
              <w:br/>
              <w:t xml:space="preserve">   -Bronphenolblau</w:t>
            </w:r>
          </w:p>
        </w:tc>
        <w:tc>
          <w:tcPr>
            <w:tcW w:w="3141" w:type="dxa"/>
          </w:tcPr>
          <w:p w14:paraId="12CDB65B" w14:textId="77777777" w:rsidR="00C85902" w:rsidRDefault="00C85902" w:rsidP="009D19C9">
            <w:pPr>
              <w:keepNext/>
              <w:spacing w:line="240" w:lineRule="auto"/>
              <w:jc w:val="center"/>
              <w:rPr>
                <w:rFonts w:cs="Arial"/>
                <w:color w:val="FF0000"/>
                <w:sz w:val="20"/>
                <w:szCs w:val="20"/>
              </w:rPr>
            </w:pPr>
          </w:p>
          <w:p w14:paraId="78D96EB0" w14:textId="77777777" w:rsidR="00C85902" w:rsidRPr="002B6705" w:rsidRDefault="00C85902" w:rsidP="009D19C9">
            <w:pPr>
              <w:keepNext/>
              <w:spacing w:line="240" w:lineRule="auto"/>
              <w:jc w:val="center"/>
              <w:rPr>
                <w:rFonts w:cs="Arial"/>
                <w:sz w:val="20"/>
                <w:szCs w:val="20"/>
              </w:rPr>
            </w:pPr>
            <w:r w:rsidRPr="002B6705">
              <w:rPr>
                <w:rFonts w:cs="Arial"/>
                <w:sz w:val="20"/>
                <w:szCs w:val="20"/>
              </w:rPr>
              <w:t>ICN Biomedicals</w:t>
            </w:r>
          </w:p>
          <w:p w14:paraId="48784787" w14:textId="77777777" w:rsidR="00C85902" w:rsidRPr="002B6705" w:rsidRDefault="00C85902" w:rsidP="009D19C9">
            <w:pPr>
              <w:keepNext/>
              <w:spacing w:line="240" w:lineRule="auto"/>
              <w:jc w:val="center"/>
              <w:rPr>
                <w:rFonts w:cs="Arial"/>
                <w:sz w:val="20"/>
                <w:szCs w:val="20"/>
              </w:rPr>
            </w:pPr>
            <w:r w:rsidRPr="002B6705">
              <w:rPr>
                <w:rFonts w:cs="Arial"/>
                <w:sz w:val="20"/>
                <w:szCs w:val="20"/>
              </w:rPr>
              <w:t>Sigma</w:t>
            </w:r>
            <w:r w:rsidRPr="002B6705">
              <w:rPr>
                <w:rFonts w:cs="Arial"/>
                <w:sz w:val="20"/>
                <w:szCs w:val="20"/>
              </w:rPr>
              <w:br/>
              <w:t>Sigma</w:t>
            </w:r>
          </w:p>
          <w:p w14:paraId="495CEDF8" w14:textId="77777777" w:rsidR="00C85902" w:rsidRPr="0041243F" w:rsidRDefault="00C85902" w:rsidP="002B6705">
            <w:pPr>
              <w:keepNext/>
              <w:spacing w:line="240" w:lineRule="auto"/>
              <w:jc w:val="center"/>
              <w:rPr>
                <w:rFonts w:cs="Arial"/>
                <w:color w:val="FF0000"/>
                <w:sz w:val="20"/>
                <w:szCs w:val="20"/>
              </w:rPr>
            </w:pPr>
            <w:r w:rsidRPr="002B6705">
              <w:rPr>
                <w:rFonts w:cs="Arial"/>
                <w:sz w:val="20"/>
                <w:szCs w:val="20"/>
              </w:rPr>
              <w:t>AppliChem</w:t>
            </w:r>
          </w:p>
        </w:tc>
      </w:tr>
    </w:tbl>
    <w:p w14:paraId="705DF2C3" w14:textId="77777777" w:rsidR="00C85902" w:rsidRDefault="00C85902" w:rsidP="00361AD9">
      <w:pPr>
        <w:keepNext/>
      </w:pPr>
    </w:p>
    <w:p w14:paraId="5F371122" w14:textId="77777777" w:rsidR="00C85902" w:rsidRDefault="00C85902" w:rsidP="00487FB4">
      <w:pPr>
        <w:keepNext/>
        <w:jc w:val="center"/>
      </w:pPr>
      <w:r>
        <w:rPr>
          <w:noProof/>
        </w:rPr>
        <w:drawing>
          <wp:inline distT="0" distB="0" distL="0" distR="0" wp14:anchorId="18E06BFF" wp14:editId="749BCD9B">
            <wp:extent cx="3397250" cy="16035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4" cstate="print">
                      <a:grayscl/>
                      <a:extLst>
                        <a:ext uri="{28A0092B-C50C-407E-A947-70E740481C1C}">
                          <a14:useLocalDpi xmlns:a14="http://schemas.microsoft.com/office/drawing/2010/main" val="0"/>
                        </a:ext>
                      </a:extLst>
                    </a:blip>
                    <a:srcRect t="7734" b="8360"/>
                    <a:stretch/>
                  </pic:blipFill>
                  <pic:spPr bwMode="auto">
                    <a:xfrm>
                      <a:off x="0" y="0"/>
                      <a:ext cx="3454890" cy="1630787"/>
                    </a:xfrm>
                    <a:prstGeom prst="rect">
                      <a:avLst/>
                    </a:prstGeom>
                    <a:ln>
                      <a:noFill/>
                    </a:ln>
                    <a:extLst>
                      <a:ext uri="{53640926-AAD7-44D8-BBD7-CCE9431645EC}">
                        <a14:shadowObscured xmlns:a14="http://schemas.microsoft.com/office/drawing/2010/main"/>
                      </a:ext>
                    </a:extLst>
                  </pic:spPr>
                </pic:pic>
              </a:graphicData>
            </a:graphic>
          </wp:inline>
        </w:drawing>
      </w:r>
    </w:p>
    <w:p w14:paraId="5E992D93" w14:textId="00847668" w:rsidR="00C85902" w:rsidRPr="00AC14A3" w:rsidRDefault="00C85902" w:rsidP="00AC14A3">
      <w:pPr>
        <w:pStyle w:val="Beschriftung"/>
        <w:jc w:val="center"/>
        <w:rPr>
          <w:vanish/>
          <w:specVanish/>
        </w:rPr>
      </w:pPr>
      <w:bookmarkStart w:id="99" w:name="_Ref84406096"/>
      <w:bookmarkStart w:id="100" w:name="_Ref68542562"/>
      <w:bookmarkStart w:id="101" w:name="_Ref68542563"/>
      <w:bookmarkStart w:id="102" w:name="_Toc120649882"/>
      <w:r>
        <w:t xml:space="preserve">Abbildung </w:t>
      </w:r>
      <w:r>
        <w:fldChar w:fldCharType="begin"/>
      </w:r>
      <w:r>
        <w:instrText xml:space="preserve"> SEQ Abbildung \* ARABIC </w:instrText>
      </w:r>
      <w:r>
        <w:fldChar w:fldCharType="separate"/>
      </w:r>
      <w:r w:rsidR="00791554">
        <w:rPr>
          <w:noProof/>
        </w:rPr>
        <w:t>5</w:t>
      </w:r>
      <w:r>
        <w:rPr>
          <w:noProof/>
        </w:rPr>
        <w:fldChar w:fldCharType="end"/>
      </w:r>
      <w:bookmarkEnd w:id="99"/>
      <w:r>
        <w:t xml:space="preserve"> Konzentrationen der Standards</w:t>
      </w:r>
      <w:bookmarkEnd w:id="100"/>
      <w:bookmarkEnd w:id="101"/>
      <w:bookmarkEnd w:id="102"/>
    </w:p>
    <w:p w14:paraId="357653A5" w14:textId="77777777" w:rsidR="00C85902" w:rsidRPr="00AC14A3" w:rsidRDefault="00C85902" w:rsidP="00AC14A3">
      <w:pPr>
        <w:pStyle w:val="Beschriftung"/>
        <w:jc w:val="center"/>
      </w:pPr>
      <w:r>
        <w:br/>
        <w:t xml:space="preserve"> In dieser Abbildung ist schematisch die Herstellung der Standard-Verdünnungsreihe dargestellt.</w:t>
      </w:r>
    </w:p>
    <w:p w14:paraId="1773A25B" w14:textId="7D471C15" w:rsidR="00C85902" w:rsidRDefault="00C85902" w:rsidP="00FD20D4">
      <w:pPr>
        <w:rPr>
          <w:rFonts w:cs="Arial"/>
        </w:rPr>
      </w:pPr>
      <w:r>
        <w:t>Auf einer Rundbodenplatte wurde im Anschluss die 1:5 Verdünnung der Proben erstellt. Hierfür wurden zunächst für die Anzahl der Proben pro Well 16</w:t>
      </w:r>
      <w:r w:rsidRPr="00F553AE">
        <w:rPr>
          <w:w w:val="50"/>
        </w:rPr>
        <w:t> </w:t>
      </w:r>
      <w:r>
        <w:rPr>
          <w:rFonts w:cs="Arial"/>
        </w:rPr>
        <w:t>µl RIPA+ vorgelegt und anschließend pro Probe 4</w:t>
      </w:r>
      <w:r w:rsidRPr="00F553AE">
        <w:rPr>
          <w:w w:val="50"/>
        </w:rPr>
        <w:t> </w:t>
      </w:r>
      <w:r>
        <w:rPr>
          <w:rFonts w:cs="Arial"/>
        </w:rPr>
        <w:t>µl in das entsprechende Well hinzugegeben. Um eine homogene Durchmischung zu erreichen, wurde die Platte anschließend auf den Schüttler gestellt. Im Anschluss wurden je 5</w:t>
      </w:r>
      <w:r w:rsidRPr="00F553AE">
        <w:rPr>
          <w:w w:val="50"/>
        </w:rPr>
        <w:t> </w:t>
      </w:r>
      <w:r>
        <w:rPr>
          <w:rFonts w:cs="Arial"/>
        </w:rPr>
        <w:t xml:space="preserve">µl des Blanks (bestehend aus RIPA+), der Standards S1-S5 sowie der verdünnten Proben in dreifacher Ausführung in dem in </w:t>
      </w:r>
      <w:r>
        <w:rPr>
          <w:rFonts w:cs="Arial"/>
        </w:rPr>
        <w:fldChar w:fldCharType="begin"/>
      </w:r>
      <w:r>
        <w:rPr>
          <w:rFonts w:cs="Arial"/>
        </w:rPr>
        <w:instrText xml:space="preserve"> REF _Ref120443605 \h </w:instrText>
      </w:r>
      <w:r>
        <w:rPr>
          <w:rFonts w:cs="Arial"/>
        </w:rPr>
      </w:r>
      <w:r>
        <w:rPr>
          <w:rFonts w:cs="Arial"/>
        </w:rPr>
        <w:fldChar w:fldCharType="separate"/>
      </w:r>
      <w:r w:rsidR="00791554">
        <w:t xml:space="preserve">Abbildung </w:t>
      </w:r>
      <w:r w:rsidR="00791554">
        <w:rPr>
          <w:noProof/>
        </w:rPr>
        <w:t>6</w:t>
      </w:r>
      <w:r>
        <w:rPr>
          <w:rFonts w:cs="Arial"/>
        </w:rPr>
        <w:fldChar w:fldCharType="end"/>
      </w:r>
      <w:r>
        <w:rPr>
          <w:rFonts w:cs="Arial"/>
        </w:rPr>
        <w:t xml:space="preserve"> angegebenen Schema, auf eine 96-well Flachbodenplatte gegeben. Zu diesen 5</w:t>
      </w:r>
      <w:r w:rsidRPr="00F553AE">
        <w:rPr>
          <w:w w:val="50"/>
        </w:rPr>
        <w:t> </w:t>
      </w:r>
      <w:r>
        <w:rPr>
          <w:rFonts w:cs="Arial"/>
        </w:rPr>
        <w:t>µl wurden dann jeweils 25</w:t>
      </w:r>
      <w:r w:rsidRPr="00F553AE">
        <w:rPr>
          <w:w w:val="50"/>
        </w:rPr>
        <w:t> </w:t>
      </w:r>
      <w:r>
        <w:rPr>
          <w:rFonts w:cs="Arial"/>
        </w:rPr>
        <w:t>µl Reagenz A‘ sowie 200</w:t>
      </w:r>
      <w:r w:rsidRPr="00F553AE">
        <w:rPr>
          <w:w w:val="50"/>
        </w:rPr>
        <w:t> </w:t>
      </w:r>
      <w:r>
        <w:rPr>
          <w:rFonts w:cs="Arial"/>
        </w:rPr>
        <w:t>µl Reagenz B hinzugeben, sodass sich zum Schluss in jedem Well 230</w:t>
      </w:r>
      <w:r w:rsidRPr="00F553AE">
        <w:rPr>
          <w:w w:val="50"/>
        </w:rPr>
        <w:t> </w:t>
      </w:r>
      <w:r>
        <w:rPr>
          <w:rFonts w:cs="Arial"/>
        </w:rPr>
        <w:t>µl befanden. Dann wurde die Platte zum Durchmischen für die Dauer von einer Minute auf den Schüttler gestellt und im Anschluss 15</w:t>
      </w:r>
      <w:r w:rsidRPr="00F553AE">
        <w:rPr>
          <w:w w:val="50"/>
        </w:rPr>
        <w:t> </w:t>
      </w:r>
      <w:r>
        <w:rPr>
          <w:rFonts w:cs="Arial"/>
        </w:rPr>
        <w:t xml:space="preserve">Minuten bei Raumtemperatur inkubiert, bevor die Messung der Absorption im </w:t>
      </w:r>
      <w:r w:rsidRPr="005529EE">
        <w:rPr>
          <w:rFonts w:cs="Arial"/>
        </w:rPr>
        <w:t>GlowMax</w:t>
      </w:r>
      <w:r>
        <w:rPr>
          <w:rFonts w:cs="Arial"/>
        </w:rPr>
        <w:t xml:space="preserve"> bei 600</w:t>
      </w:r>
      <w:r w:rsidRPr="00F553AE">
        <w:rPr>
          <w:w w:val="50"/>
        </w:rPr>
        <w:t> </w:t>
      </w:r>
      <w:r>
        <w:rPr>
          <w:rFonts w:cs="Arial"/>
        </w:rPr>
        <w:t>nm durchgeführt wurde. Es wurde darauf geachtet, dass sich keine Luftblasen in den Wells befinden, da diese die Messung verfälschen können.</w:t>
      </w:r>
    </w:p>
    <w:p w14:paraId="4A28467D" w14:textId="77777777" w:rsidR="00C85902" w:rsidRDefault="00C85902" w:rsidP="0061666B">
      <w:pPr>
        <w:keepNext/>
        <w:rPr>
          <w:noProof/>
        </w:rPr>
      </w:pPr>
      <w:r>
        <w:rPr>
          <w:noProof/>
        </w:rPr>
        <w:drawing>
          <wp:inline distT="0" distB="0" distL="0" distR="0" wp14:anchorId="182BA773" wp14:editId="5DC3AF3B">
            <wp:extent cx="5400040" cy="2959100"/>
            <wp:effectExtent l="0" t="0" r="0" b="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rotWithShape="1">
                    <a:blip r:embed="rId15">
                      <a:extLst>
                        <a:ext uri="{28A0092B-C50C-407E-A947-70E740481C1C}">
                          <a14:useLocalDpi xmlns:a14="http://schemas.microsoft.com/office/drawing/2010/main" val="0"/>
                        </a:ext>
                      </a:extLst>
                    </a:blip>
                    <a:srcRect b="2592"/>
                    <a:stretch/>
                  </pic:blipFill>
                  <pic:spPr bwMode="auto">
                    <a:xfrm>
                      <a:off x="0" y="0"/>
                      <a:ext cx="5400040" cy="2959100"/>
                    </a:xfrm>
                    <a:prstGeom prst="rect">
                      <a:avLst/>
                    </a:prstGeom>
                    <a:ln>
                      <a:noFill/>
                    </a:ln>
                    <a:extLst>
                      <a:ext uri="{53640926-AAD7-44D8-BBD7-CCE9431645EC}">
                        <a14:shadowObscured xmlns:a14="http://schemas.microsoft.com/office/drawing/2010/main"/>
                      </a:ext>
                    </a:extLst>
                  </pic:spPr>
                </pic:pic>
              </a:graphicData>
            </a:graphic>
          </wp:inline>
        </w:drawing>
      </w:r>
    </w:p>
    <w:p w14:paraId="0625038E" w14:textId="6201B05B" w:rsidR="00C85902" w:rsidRPr="00AC14A3" w:rsidRDefault="00C85902" w:rsidP="0061666B">
      <w:pPr>
        <w:pStyle w:val="Beschriftung"/>
        <w:rPr>
          <w:vanish/>
          <w:specVanish/>
        </w:rPr>
      </w:pPr>
      <w:bookmarkStart w:id="103" w:name="_Ref120443605"/>
      <w:bookmarkStart w:id="104" w:name="_Toc120649883"/>
      <w:r>
        <w:t xml:space="preserve">Abbildung </w:t>
      </w:r>
      <w:r>
        <w:fldChar w:fldCharType="begin"/>
      </w:r>
      <w:r>
        <w:instrText xml:space="preserve"> SEQ Abbildung \* ARABIC </w:instrText>
      </w:r>
      <w:r>
        <w:fldChar w:fldCharType="separate"/>
      </w:r>
      <w:r w:rsidR="00791554">
        <w:rPr>
          <w:noProof/>
        </w:rPr>
        <w:t>6</w:t>
      </w:r>
      <w:r>
        <w:rPr>
          <w:noProof/>
        </w:rPr>
        <w:fldChar w:fldCharType="end"/>
      </w:r>
      <w:bookmarkEnd w:id="103"/>
      <w:r>
        <w:t xml:space="preserve"> Befüllungsschema 96-well Platte für die GlowMax Messung</w:t>
      </w:r>
      <w:bookmarkEnd w:id="104"/>
      <w:r>
        <w:t xml:space="preserve"> </w:t>
      </w:r>
    </w:p>
    <w:p w14:paraId="5505FF67" w14:textId="77777777" w:rsidR="00C85902" w:rsidRDefault="00C85902" w:rsidP="0061666B">
      <w:pPr>
        <w:pStyle w:val="Beschriftung"/>
      </w:pPr>
      <w:r>
        <w:t xml:space="preserve"> </w:t>
      </w:r>
      <w:r>
        <w:br/>
        <w:t>Dies ist ein Schema der Befüllung der 96-well Platte. Bei S1 bis S5 handelt es sich um die Standardkonzentrationen, welche in einer Verdünnungsreihe hergestellt wurden. Es wurden die kommerziellen Tumor-Zelllinien T24, Cal29 und HT1197 sowie die aus OP-Präparaten isolieren Zellen HL20/31 und HL20/32 analysiert. Jede Probe wurde drei Mal separat pipettiert und im Anschluss im GlowMAX gemessen.</w:t>
      </w:r>
    </w:p>
    <w:p w14:paraId="622401AF" w14:textId="743B0A41" w:rsidR="00C85902" w:rsidRDefault="00C85902" w:rsidP="00202A79">
      <w:r>
        <w:t xml:space="preserve">Nach Messung der Absorption wurden zunächst die Mittelwerte von den dreifachen Werten des Leerwerts und der Standards festgelegt. Von jedem der Standardmittelwerte (S1 bis S5) wurde jeweils der Mittelwert des Leerwerts abgezogen. Die so ermittelten Werte wurden auf die Y-Koordinate aufgetragen, während die dazugehörigen Konzentrationen der Standards auf der X-Achse aufgetragen wurden. So konnte eine Kalibrierungslinie erstellt werden und anhand dieser eine Steigung und ein Achsenabschnitt festgelegt werden (siehe </w:t>
      </w:r>
      <w:r>
        <w:fldChar w:fldCharType="begin"/>
      </w:r>
      <w:r>
        <w:instrText xml:space="preserve"> REF _Ref120297473 \h </w:instrText>
      </w:r>
      <w:r>
        <w:fldChar w:fldCharType="separate"/>
      </w:r>
      <w:r w:rsidR="00791554">
        <w:t xml:space="preserve">Tabelle </w:t>
      </w:r>
      <w:r w:rsidR="00791554">
        <w:rPr>
          <w:noProof/>
        </w:rPr>
        <w:t>15</w:t>
      </w:r>
      <w:r>
        <w:fldChar w:fldCharType="end"/>
      </w:r>
      <w:r>
        <w:t xml:space="preserve"> und  </w:t>
      </w:r>
      <w:r>
        <w:fldChar w:fldCharType="begin"/>
      </w:r>
      <w:r>
        <w:instrText xml:space="preserve"> REF _Ref120297376 \h </w:instrText>
      </w:r>
      <w:r>
        <w:fldChar w:fldCharType="separate"/>
      </w:r>
      <w:r w:rsidR="00791554">
        <w:t xml:space="preserve">Abbildung </w:t>
      </w:r>
      <w:r w:rsidR="00791554">
        <w:rPr>
          <w:noProof/>
        </w:rPr>
        <w:t>7</w:t>
      </w:r>
      <w:r>
        <w:fldChar w:fldCharType="end"/>
      </w:r>
      <w:r>
        <w:t xml:space="preserve">). </w:t>
      </w:r>
    </w:p>
    <w:p w14:paraId="1A618CAA" w14:textId="5F7D50AC" w:rsidR="00C85902" w:rsidRPr="00C6403A" w:rsidRDefault="00C85902" w:rsidP="005C692B">
      <w:pPr>
        <w:pStyle w:val="Beschriftung"/>
        <w:keepNext/>
        <w:rPr>
          <w:vanish/>
          <w:specVanish/>
        </w:rPr>
      </w:pPr>
      <w:bookmarkStart w:id="105" w:name="_Ref120297473"/>
      <w:bookmarkStart w:id="106" w:name="_Toc120649857"/>
      <w:r>
        <w:t xml:space="preserve">Tabelle </w:t>
      </w:r>
      <w:r>
        <w:fldChar w:fldCharType="begin"/>
      </w:r>
      <w:r>
        <w:instrText xml:space="preserve"> SEQ Tabelle \* ARABIC </w:instrText>
      </w:r>
      <w:r>
        <w:fldChar w:fldCharType="separate"/>
      </w:r>
      <w:r w:rsidR="00791554">
        <w:rPr>
          <w:noProof/>
        </w:rPr>
        <w:t>15</w:t>
      </w:r>
      <w:r>
        <w:rPr>
          <w:noProof/>
        </w:rPr>
        <w:fldChar w:fldCharType="end"/>
      </w:r>
      <w:bookmarkEnd w:id="105"/>
      <w:r>
        <w:t xml:space="preserve"> GlowMax Absorbtionsw</w:t>
      </w:r>
      <w:r w:rsidRPr="002D797C">
        <w:t xml:space="preserve">erte </w:t>
      </w:r>
      <w:r>
        <w:t xml:space="preserve">zur Erstellung </w:t>
      </w:r>
      <w:r w:rsidRPr="002D797C">
        <w:t>der Kalibrierungslinie</w:t>
      </w:r>
      <w:bookmarkEnd w:id="106"/>
      <w:r>
        <w:t xml:space="preserve"> </w:t>
      </w:r>
    </w:p>
    <w:p w14:paraId="2B5E136D" w14:textId="77777777" w:rsidR="00C85902" w:rsidRDefault="00C85902" w:rsidP="005C692B">
      <w:pPr>
        <w:pStyle w:val="Beschriftung"/>
        <w:keepNext/>
      </w:pPr>
      <w:r>
        <w:t xml:space="preserve"> </w:t>
      </w:r>
      <w:r>
        <w:br/>
        <w:t>Aus dieserTabelle kann man die Mittelwerte der im GlowMAX gemessenen Absorption, sowie die Proteinmenge und der entnehmen.</w:t>
      </w:r>
    </w:p>
    <w:tbl>
      <w:tblPr>
        <w:tblW w:w="8440" w:type="dxa"/>
        <w:tblInd w:w="70" w:type="dxa"/>
        <w:tblCellMar>
          <w:left w:w="70" w:type="dxa"/>
          <w:right w:w="70" w:type="dxa"/>
        </w:tblCellMar>
        <w:tblLook w:val="04A0" w:firstRow="1" w:lastRow="0" w:firstColumn="1" w:lastColumn="0" w:noHBand="0" w:noVBand="1"/>
      </w:tblPr>
      <w:tblGrid>
        <w:gridCol w:w="1640"/>
        <w:gridCol w:w="364"/>
        <w:gridCol w:w="1454"/>
        <w:gridCol w:w="2212"/>
        <w:gridCol w:w="2770"/>
      </w:tblGrid>
      <w:tr w:rsidR="00C85902" w:rsidRPr="009F2A1D" w14:paraId="4EB4C41C" w14:textId="77777777" w:rsidTr="008E15CC">
        <w:trPr>
          <w:trHeight w:val="306"/>
        </w:trPr>
        <w:tc>
          <w:tcPr>
            <w:tcW w:w="1640" w:type="dxa"/>
            <w:tcBorders>
              <w:top w:val="nil"/>
              <w:left w:val="nil"/>
              <w:bottom w:val="nil"/>
              <w:right w:val="nil"/>
            </w:tcBorders>
            <w:shd w:val="clear" w:color="auto" w:fill="auto"/>
            <w:noWrap/>
            <w:vAlign w:val="bottom"/>
            <w:hideMark/>
          </w:tcPr>
          <w:p w14:paraId="531C02E1" w14:textId="77777777" w:rsidR="00C85902" w:rsidRPr="009F2A1D" w:rsidRDefault="00C85902" w:rsidP="009F2A1D">
            <w:pPr>
              <w:spacing w:after="0" w:line="240" w:lineRule="auto"/>
              <w:rPr>
                <w:rFonts w:ascii="Times New Roman" w:eastAsia="Times New Roman" w:hAnsi="Times New Roman" w:cs="Times New Roman"/>
                <w:sz w:val="20"/>
                <w:szCs w:val="24"/>
                <w:lang w:eastAsia="de-DE"/>
              </w:rPr>
            </w:pPr>
          </w:p>
        </w:tc>
        <w:tc>
          <w:tcPr>
            <w:tcW w:w="364" w:type="dxa"/>
            <w:tcBorders>
              <w:top w:val="single" w:sz="4" w:space="0" w:color="auto"/>
              <w:left w:val="single" w:sz="4" w:space="0" w:color="auto"/>
              <w:bottom w:val="single" w:sz="4" w:space="0" w:color="auto"/>
              <w:right w:val="single" w:sz="4" w:space="0" w:color="auto"/>
            </w:tcBorders>
          </w:tcPr>
          <w:p w14:paraId="74A75A1C" w14:textId="77777777" w:rsidR="00C85902" w:rsidRDefault="00C85902" w:rsidP="009F2A1D">
            <w:pPr>
              <w:spacing w:after="0" w:line="240" w:lineRule="auto"/>
              <w:rPr>
                <w:rFonts w:ascii="Calibri" w:eastAsia="Times New Roman" w:hAnsi="Calibri" w:cs="Calibri"/>
                <w:color w:val="000000"/>
                <w:lang w:eastAsia="de-DE"/>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8E559" w14:textId="77777777" w:rsidR="00C85902" w:rsidRPr="00384896" w:rsidRDefault="00C85902" w:rsidP="00384896">
            <w:pPr>
              <w:spacing w:after="0" w:line="240" w:lineRule="auto"/>
              <w:jc w:val="center"/>
              <w:rPr>
                <w:rFonts w:ascii="Calibri" w:eastAsia="Times New Roman" w:hAnsi="Calibri" w:cs="Calibri"/>
                <w:b/>
                <w:bCs/>
                <w:color w:val="000000"/>
                <w:lang w:eastAsia="de-DE"/>
              </w:rPr>
            </w:pPr>
            <w:r w:rsidRPr="00384896">
              <w:rPr>
                <w:rFonts w:ascii="Calibri" w:eastAsia="Times New Roman" w:hAnsi="Calibri" w:cs="Calibri"/>
                <w:b/>
                <w:bCs/>
                <w:color w:val="000000"/>
                <w:sz w:val="22"/>
                <w:lang w:eastAsia="de-DE"/>
              </w:rPr>
              <w:t>Proteinmenge [mg/ml]</w:t>
            </w:r>
          </w:p>
        </w:tc>
        <w:tc>
          <w:tcPr>
            <w:tcW w:w="2212" w:type="dxa"/>
            <w:tcBorders>
              <w:top w:val="single" w:sz="4" w:space="0" w:color="auto"/>
              <w:left w:val="nil"/>
              <w:bottom w:val="single" w:sz="4" w:space="0" w:color="auto"/>
              <w:right w:val="single" w:sz="4" w:space="0" w:color="auto"/>
            </w:tcBorders>
            <w:shd w:val="clear" w:color="auto" w:fill="auto"/>
            <w:noWrap/>
            <w:vAlign w:val="bottom"/>
            <w:hideMark/>
          </w:tcPr>
          <w:p w14:paraId="48C366DE" w14:textId="77777777" w:rsidR="00C85902" w:rsidRPr="00384896" w:rsidRDefault="00C85902" w:rsidP="00384896">
            <w:pPr>
              <w:spacing w:after="0" w:line="240" w:lineRule="auto"/>
              <w:jc w:val="center"/>
              <w:rPr>
                <w:rFonts w:ascii="Calibri" w:eastAsia="Times New Roman" w:hAnsi="Calibri" w:cs="Calibri"/>
                <w:b/>
                <w:bCs/>
                <w:color w:val="000000"/>
                <w:lang w:eastAsia="de-DE"/>
              </w:rPr>
            </w:pPr>
            <w:r w:rsidRPr="00384896">
              <w:rPr>
                <w:rFonts w:ascii="Calibri" w:eastAsia="Times New Roman" w:hAnsi="Calibri" w:cs="Calibri"/>
                <w:b/>
                <w:bCs/>
                <w:color w:val="000000"/>
                <w:sz w:val="22"/>
                <w:lang w:eastAsia="de-DE"/>
              </w:rPr>
              <w:t>Mittelwert der gemessenen Absor</w:t>
            </w:r>
            <w:r>
              <w:rPr>
                <w:rFonts w:ascii="Calibri" w:eastAsia="Times New Roman" w:hAnsi="Calibri" w:cs="Calibri"/>
                <w:b/>
                <w:bCs/>
                <w:color w:val="000000"/>
                <w:sz w:val="22"/>
                <w:lang w:eastAsia="de-DE"/>
              </w:rPr>
              <w:t>p</w:t>
            </w:r>
            <w:r w:rsidRPr="00384896">
              <w:rPr>
                <w:rFonts w:ascii="Calibri" w:eastAsia="Times New Roman" w:hAnsi="Calibri" w:cs="Calibri"/>
                <w:b/>
                <w:bCs/>
                <w:color w:val="000000"/>
                <w:sz w:val="22"/>
                <w:lang w:eastAsia="de-DE"/>
              </w:rPr>
              <w:t>tion</w:t>
            </w:r>
          </w:p>
        </w:tc>
        <w:tc>
          <w:tcPr>
            <w:tcW w:w="2770" w:type="dxa"/>
            <w:tcBorders>
              <w:top w:val="single" w:sz="4" w:space="0" w:color="auto"/>
              <w:left w:val="nil"/>
              <w:bottom w:val="single" w:sz="4" w:space="0" w:color="auto"/>
              <w:right w:val="single" w:sz="4" w:space="0" w:color="auto"/>
            </w:tcBorders>
            <w:shd w:val="clear" w:color="auto" w:fill="auto"/>
            <w:noWrap/>
            <w:vAlign w:val="bottom"/>
            <w:hideMark/>
          </w:tcPr>
          <w:p w14:paraId="0B4E1CD5" w14:textId="77777777" w:rsidR="00C85902" w:rsidRPr="00384896" w:rsidRDefault="00C85902" w:rsidP="00384896">
            <w:pPr>
              <w:spacing w:after="0" w:line="240" w:lineRule="auto"/>
              <w:jc w:val="center"/>
              <w:rPr>
                <w:rFonts w:ascii="Calibri" w:eastAsia="Times New Roman" w:hAnsi="Calibri" w:cs="Calibri"/>
                <w:b/>
                <w:bCs/>
                <w:color w:val="000000"/>
                <w:lang w:eastAsia="de-DE"/>
              </w:rPr>
            </w:pPr>
            <w:r>
              <w:rPr>
                <w:rFonts w:ascii="Calibri" w:eastAsia="Times New Roman" w:hAnsi="Calibri" w:cs="Calibri"/>
                <w:b/>
                <w:bCs/>
                <w:color w:val="000000"/>
                <w:sz w:val="22"/>
                <w:lang w:eastAsia="de-DE"/>
              </w:rPr>
              <w:t>Absorption ohne Blank</w:t>
            </w:r>
            <w:r w:rsidRPr="00384896">
              <w:rPr>
                <w:rFonts w:ascii="Calibri" w:eastAsia="Times New Roman" w:hAnsi="Calibri" w:cs="Calibri"/>
                <w:b/>
                <w:bCs/>
                <w:color w:val="000000"/>
                <w:sz w:val="22"/>
                <w:lang w:eastAsia="de-DE"/>
              </w:rPr>
              <w:br/>
            </w:r>
          </w:p>
        </w:tc>
      </w:tr>
      <w:tr w:rsidR="00C85902" w:rsidRPr="009F2A1D" w14:paraId="3F57ED62" w14:textId="77777777" w:rsidTr="008E15CC">
        <w:trPr>
          <w:trHeight w:val="306"/>
        </w:trPr>
        <w:tc>
          <w:tcPr>
            <w:tcW w:w="1640" w:type="dxa"/>
            <w:tcBorders>
              <w:top w:val="nil"/>
              <w:left w:val="nil"/>
              <w:bottom w:val="nil"/>
              <w:right w:val="nil"/>
            </w:tcBorders>
            <w:shd w:val="clear" w:color="000000" w:fill="F2F2F2"/>
            <w:noWrap/>
            <w:vAlign w:val="bottom"/>
            <w:hideMark/>
          </w:tcPr>
          <w:p w14:paraId="07D450E0" w14:textId="77777777" w:rsidR="00C85902" w:rsidRPr="009F2A1D" w:rsidRDefault="00C85902" w:rsidP="009F2A1D">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Leerwert</w:t>
            </w:r>
          </w:p>
        </w:tc>
        <w:tc>
          <w:tcPr>
            <w:tcW w:w="364" w:type="dxa"/>
            <w:tcBorders>
              <w:top w:val="nil"/>
              <w:left w:val="single" w:sz="4" w:space="0" w:color="auto"/>
              <w:bottom w:val="single" w:sz="4" w:space="0" w:color="auto"/>
              <w:right w:val="single" w:sz="4" w:space="0" w:color="auto"/>
            </w:tcBorders>
            <w:shd w:val="clear" w:color="000000" w:fill="F2F2F2"/>
          </w:tcPr>
          <w:p w14:paraId="772F47A9" w14:textId="77777777" w:rsidR="00C85902" w:rsidRPr="009F2A1D" w:rsidRDefault="00C85902" w:rsidP="009F2A1D">
            <w:pPr>
              <w:spacing w:after="0" w:line="240" w:lineRule="auto"/>
              <w:rPr>
                <w:rFonts w:ascii="Calibri" w:eastAsia="Times New Roman" w:hAnsi="Calibri" w:cs="Calibri"/>
                <w:color w:val="000000"/>
                <w:lang w:eastAsia="de-DE"/>
              </w:rPr>
            </w:pPr>
          </w:p>
        </w:tc>
        <w:tc>
          <w:tcPr>
            <w:tcW w:w="1454" w:type="dxa"/>
            <w:tcBorders>
              <w:top w:val="nil"/>
              <w:left w:val="single" w:sz="4" w:space="0" w:color="auto"/>
              <w:bottom w:val="single" w:sz="4" w:space="0" w:color="auto"/>
              <w:right w:val="single" w:sz="4" w:space="0" w:color="auto"/>
            </w:tcBorders>
            <w:shd w:val="clear" w:color="000000" w:fill="F2F2F2"/>
            <w:noWrap/>
            <w:vAlign w:val="bottom"/>
            <w:hideMark/>
          </w:tcPr>
          <w:p w14:paraId="6BDD17A0" w14:textId="77777777" w:rsidR="00C85902" w:rsidRPr="009F2A1D" w:rsidRDefault="00C85902" w:rsidP="009F2A1D">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 </w:t>
            </w:r>
          </w:p>
        </w:tc>
        <w:tc>
          <w:tcPr>
            <w:tcW w:w="2212" w:type="dxa"/>
            <w:tcBorders>
              <w:top w:val="nil"/>
              <w:left w:val="nil"/>
              <w:bottom w:val="single" w:sz="4" w:space="0" w:color="auto"/>
              <w:right w:val="single" w:sz="4" w:space="0" w:color="auto"/>
            </w:tcBorders>
            <w:shd w:val="clear" w:color="000000" w:fill="F2F2F2"/>
            <w:vAlign w:val="center"/>
            <w:hideMark/>
          </w:tcPr>
          <w:p w14:paraId="1BE0516F" w14:textId="77777777" w:rsidR="00C85902" w:rsidRPr="002B6705" w:rsidRDefault="00C85902" w:rsidP="009F2A1D">
            <w:pPr>
              <w:spacing w:after="0" w:line="240" w:lineRule="auto"/>
              <w:jc w:val="center"/>
              <w:rPr>
                <w:rFonts w:eastAsia="Times New Roman" w:cs="Arial"/>
                <w:sz w:val="20"/>
                <w:szCs w:val="20"/>
                <w:lang w:eastAsia="de-DE"/>
              </w:rPr>
            </w:pPr>
            <w:r w:rsidRPr="002B6705">
              <w:rPr>
                <w:rFonts w:eastAsia="Times New Roman" w:cs="Arial"/>
                <w:sz w:val="20"/>
                <w:szCs w:val="20"/>
                <w:lang w:eastAsia="de-DE"/>
              </w:rPr>
              <w:t>0,063</w:t>
            </w:r>
          </w:p>
        </w:tc>
        <w:tc>
          <w:tcPr>
            <w:tcW w:w="2770" w:type="dxa"/>
            <w:tcBorders>
              <w:top w:val="nil"/>
              <w:left w:val="nil"/>
              <w:bottom w:val="single" w:sz="4" w:space="0" w:color="auto"/>
              <w:right w:val="single" w:sz="4" w:space="0" w:color="auto"/>
            </w:tcBorders>
            <w:shd w:val="clear" w:color="000000" w:fill="F2F2F2"/>
            <w:noWrap/>
            <w:vAlign w:val="bottom"/>
            <w:hideMark/>
          </w:tcPr>
          <w:p w14:paraId="07A0CFFE" w14:textId="77777777" w:rsidR="00C85902" w:rsidRPr="002B6705" w:rsidRDefault="00C85902" w:rsidP="009F2A1D">
            <w:pPr>
              <w:spacing w:after="0" w:line="240" w:lineRule="auto"/>
              <w:rPr>
                <w:rFonts w:ascii="Calibri" w:eastAsia="Times New Roman" w:hAnsi="Calibri" w:cs="Calibri"/>
                <w:lang w:eastAsia="de-DE"/>
              </w:rPr>
            </w:pPr>
            <w:r w:rsidRPr="002B6705">
              <w:rPr>
                <w:rFonts w:ascii="Calibri" w:eastAsia="Times New Roman" w:hAnsi="Calibri" w:cs="Calibri"/>
                <w:sz w:val="22"/>
                <w:lang w:eastAsia="de-DE"/>
              </w:rPr>
              <w:t> </w:t>
            </w:r>
          </w:p>
        </w:tc>
      </w:tr>
      <w:tr w:rsidR="00C85902" w:rsidRPr="009F2A1D" w14:paraId="6C844DB0" w14:textId="77777777" w:rsidTr="008E15CC">
        <w:trPr>
          <w:trHeight w:val="306"/>
        </w:trPr>
        <w:tc>
          <w:tcPr>
            <w:tcW w:w="1640" w:type="dxa"/>
            <w:tcBorders>
              <w:top w:val="nil"/>
              <w:left w:val="nil"/>
              <w:bottom w:val="nil"/>
              <w:right w:val="nil"/>
            </w:tcBorders>
            <w:shd w:val="clear" w:color="000000" w:fill="D9D9D9"/>
            <w:noWrap/>
            <w:vAlign w:val="bottom"/>
            <w:hideMark/>
          </w:tcPr>
          <w:p w14:paraId="2B3AA597" w14:textId="77777777" w:rsidR="00C85902" w:rsidRPr="009F2A1D" w:rsidRDefault="00C85902" w:rsidP="009F2A1D">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Proteinstandard</w:t>
            </w:r>
          </w:p>
        </w:tc>
        <w:tc>
          <w:tcPr>
            <w:tcW w:w="364" w:type="dxa"/>
            <w:tcBorders>
              <w:top w:val="nil"/>
              <w:left w:val="single" w:sz="4" w:space="0" w:color="auto"/>
              <w:bottom w:val="single" w:sz="4" w:space="0" w:color="auto"/>
              <w:right w:val="single" w:sz="4" w:space="0" w:color="auto"/>
            </w:tcBorders>
            <w:shd w:val="clear" w:color="000000" w:fill="D9D9D9"/>
          </w:tcPr>
          <w:p w14:paraId="03EF554C" w14:textId="77777777" w:rsidR="00C85902" w:rsidRPr="009F2A1D" w:rsidRDefault="00C85902" w:rsidP="009F2A1D">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S1</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14:paraId="0FA7E402" w14:textId="77777777" w:rsidR="00C85902" w:rsidRPr="009F2A1D" w:rsidRDefault="00C85902" w:rsidP="009F2A1D">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3,04</w:t>
            </w:r>
          </w:p>
        </w:tc>
        <w:tc>
          <w:tcPr>
            <w:tcW w:w="2212" w:type="dxa"/>
            <w:tcBorders>
              <w:top w:val="nil"/>
              <w:left w:val="nil"/>
              <w:bottom w:val="single" w:sz="4" w:space="0" w:color="auto"/>
              <w:right w:val="single" w:sz="4" w:space="0" w:color="auto"/>
            </w:tcBorders>
            <w:shd w:val="clear" w:color="000000" w:fill="D9D9D9"/>
            <w:vAlign w:val="center"/>
            <w:hideMark/>
          </w:tcPr>
          <w:p w14:paraId="36E2D853" w14:textId="77777777" w:rsidR="00C85902" w:rsidRPr="002B6705" w:rsidRDefault="00C85902" w:rsidP="009F2A1D">
            <w:pPr>
              <w:spacing w:after="0" w:line="240" w:lineRule="auto"/>
              <w:jc w:val="center"/>
              <w:rPr>
                <w:rFonts w:eastAsia="Times New Roman" w:cs="Arial"/>
                <w:sz w:val="20"/>
                <w:szCs w:val="20"/>
                <w:lang w:eastAsia="de-DE"/>
              </w:rPr>
            </w:pPr>
            <w:r w:rsidRPr="002B6705">
              <w:rPr>
                <w:rFonts w:eastAsia="Times New Roman" w:cs="Arial"/>
                <w:sz w:val="20"/>
                <w:szCs w:val="20"/>
                <w:lang w:eastAsia="de-DE"/>
              </w:rPr>
              <w:t>0,298</w:t>
            </w:r>
          </w:p>
        </w:tc>
        <w:tc>
          <w:tcPr>
            <w:tcW w:w="2770" w:type="dxa"/>
            <w:tcBorders>
              <w:top w:val="nil"/>
              <w:left w:val="nil"/>
              <w:bottom w:val="single" w:sz="4" w:space="0" w:color="auto"/>
              <w:right w:val="single" w:sz="4" w:space="0" w:color="auto"/>
            </w:tcBorders>
            <w:shd w:val="clear" w:color="000000" w:fill="D9D9D9"/>
            <w:noWrap/>
            <w:vAlign w:val="bottom"/>
            <w:hideMark/>
          </w:tcPr>
          <w:p w14:paraId="3791B973" w14:textId="77777777" w:rsidR="00C85902" w:rsidRPr="002B6705" w:rsidRDefault="00C85902" w:rsidP="009F2A1D">
            <w:pPr>
              <w:spacing w:after="0" w:line="240" w:lineRule="auto"/>
              <w:jc w:val="right"/>
              <w:rPr>
                <w:rFonts w:ascii="Calibri" w:eastAsia="Times New Roman" w:hAnsi="Calibri" w:cs="Calibri"/>
                <w:lang w:eastAsia="de-DE"/>
              </w:rPr>
            </w:pPr>
            <w:r w:rsidRPr="002B6705">
              <w:rPr>
                <w:rFonts w:ascii="Calibri" w:eastAsia="Times New Roman" w:hAnsi="Calibri" w:cs="Calibri"/>
                <w:sz w:val="22"/>
                <w:lang w:eastAsia="de-DE"/>
              </w:rPr>
              <w:t>0,235</w:t>
            </w:r>
          </w:p>
        </w:tc>
      </w:tr>
      <w:tr w:rsidR="00C85902" w:rsidRPr="009F2A1D" w14:paraId="2A684F61" w14:textId="77777777" w:rsidTr="008E15CC">
        <w:trPr>
          <w:trHeight w:val="306"/>
        </w:trPr>
        <w:tc>
          <w:tcPr>
            <w:tcW w:w="1640" w:type="dxa"/>
            <w:tcBorders>
              <w:top w:val="nil"/>
              <w:left w:val="nil"/>
              <w:bottom w:val="nil"/>
              <w:right w:val="nil"/>
            </w:tcBorders>
            <w:shd w:val="clear" w:color="000000" w:fill="D9D9D9"/>
            <w:noWrap/>
            <w:vAlign w:val="bottom"/>
            <w:hideMark/>
          </w:tcPr>
          <w:p w14:paraId="2AA53BC5" w14:textId="77777777" w:rsidR="00C85902" w:rsidRPr="009F2A1D" w:rsidRDefault="00C85902" w:rsidP="009F2A1D">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 </w:t>
            </w:r>
          </w:p>
        </w:tc>
        <w:tc>
          <w:tcPr>
            <w:tcW w:w="364" w:type="dxa"/>
            <w:tcBorders>
              <w:top w:val="nil"/>
              <w:left w:val="single" w:sz="4" w:space="0" w:color="auto"/>
              <w:bottom w:val="single" w:sz="4" w:space="0" w:color="auto"/>
              <w:right w:val="single" w:sz="4" w:space="0" w:color="auto"/>
            </w:tcBorders>
            <w:shd w:val="clear" w:color="000000" w:fill="D9D9D9"/>
          </w:tcPr>
          <w:p w14:paraId="1FF2BE86" w14:textId="77777777" w:rsidR="00C85902" w:rsidRPr="009F2A1D" w:rsidRDefault="00C85902" w:rsidP="009F2A1D">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S2</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14:paraId="3E83D8DF" w14:textId="77777777" w:rsidR="00C85902" w:rsidRPr="009F2A1D" w:rsidRDefault="00C85902" w:rsidP="009F2A1D">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1,52</w:t>
            </w:r>
          </w:p>
        </w:tc>
        <w:tc>
          <w:tcPr>
            <w:tcW w:w="2212" w:type="dxa"/>
            <w:tcBorders>
              <w:top w:val="nil"/>
              <w:left w:val="nil"/>
              <w:bottom w:val="single" w:sz="4" w:space="0" w:color="auto"/>
              <w:right w:val="single" w:sz="4" w:space="0" w:color="auto"/>
            </w:tcBorders>
            <w:shd w:val="clear" w:color="000000" w:fill="D9D9D9"/>
            <w:vAlign w:val="center"/>
            <w:hideMark/>
          </w:tcPr>
          <w:p w14:paraId="6323B3B5" w14:textId="77777777" w:rsidR="00C85902" w:rsidRPr="002B6705" w:rsidRDefault="00C85902" w:rsidP="009F2A1D">
            <w:pPr>
              <w:spacing w:after="0" w:line="240" w:lineRule="auto"/>
              <w:jc w:val="center"/>
              <w:rPr>
                <w:rFonts w:eastAsia="Times New Roman" w:cs="Arial"/>
                <w:sz w:val="20"/>
                <w:szCs w:val="20"/>
                <w:lang w:eastAsia="de-DE"/>
              </w:rPr>
            </w:pPr>
            <w:r w:rsidRPr="002B6705">
              <w:rPr>
                <w:rFonts w:eastAsia="Times New Roman" w:cs="Arial"/>
                <w:sz w:val="20"/>
                <w:szCs w:val="20"/>
                <w:lang w:eastAsia="de-DE"/>
              </w:rPr>
              <w:t>0,206</w:t>
            </w:r>
          </w:p>
        </w:tc>
        <w:tc>
          <w:tcPr>
            <w:tcW w:w="2770" w:type="dxa"/>
            <w:tcBorders>
              <w:top w:val="nil"/>
              <w:left w:val="nil"/>
              <w:bottom w:val="single" w:sz="4" w:space="0" w:color="auto"/>
              <w:right w:val="single" w:sz="4" w:space="0" w:color="auto"/>
            </w:tcBorders>
            <w:shd w:val="clear" w:color="000000" w:fill="D9D9D9"/>
            <w:noWrap/>
            <w:vAlign w:val="bottom"/>
            <w:hideMark/>
          </w:tcPr>
          <w:p w14:paraId="6BB218A4" w14:textId="77777777" w:rsidR="00C85902" w:rsidRPr="002B6705" w:rsidRDefault="00C85902" w:rsidP="009F2A1D">
            <w:pPr>
              <w:spacing w:after="0" w:line="240" w:lineRule="auto"/>
              <w:jc w:val="right"/>
              <w:rPr>
                <w:rFonts w:ascii="Calibri" w:eastAsia="Times New Roman" w:hAnsi="Calibri" w:cs="Calibri"/>
                <w:lang w:eastAsia="de-DE"/>
              </w:rPr>
            </w:pPr>
            <w:r w:rsidRPr="002B6705">
              <w:rPr>
                <w:rFonts w:ascii="Calibri" w:eastAsia="Times New Roman" w:hAnsi="Calibri" w:cs="Calibri"/>
                <w:sz w:val="22"/>
                <w:lang w:eastAsia="de-DE"/>
              </w:rPr>
              <w:t>0,143</w:t>
            </w:r>
          </w:p>
        </w:tc>
      </w:tr>
      <w:tr w:rsidR="00C85902" w:rsidRPr="009F2A1D" w14:paraId="2F5FD981" w14:textId="77777777" w:rsidTr="008E15CC">
        <w:trPr>
          <w:trHeight w:val="306"/>
        </w:trPr>
        <w:tc>
          <w:tcPr>
            <w:tcW w:w="1640" w:type="dxa"/>
            <w:tcBorders>
              <w:top w:val="nil"/>
              <w:left w:val="nil"/>
              <w:bottom w:val="nil"/>
              <w:right w:val="nil"/>
            </w:tcBorders>
            <w:shd w:val="clear" w:color="000000" w:fill="D9D9D9"/>
            <w:noWrap/>
            <w:vAlign w:val="bottom"/>
            <w:hideMark/>
          </w:tcPr>
          <w:p w14:paraId="7EBA0331" w14:textId="77777777" w:rsidR="00C85902" w:rsidRPr="009F2A1D" w:rsidRDefault="00C85902" w:rsidP="008E15CC">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 </w:t>
            </w:r>
          </w:p>
        </w:tc>
        <w:tc>
          <w:tcPr>
            <w:tcW w:w="364" w:type="dxa"/>
            <w:tcBorders>
              <w:top w:val="nil"/>
              <w:left w:val="single" w:sz="4" w:space="0" w:color="auto"/>
              <w:bottom w:val="single" w:sz="4" w:space="0" w:color="auto"/>
              <w:right w:val="single" w:sz="4" w:space="0" w:color="auto"/>
            </w:tcBorders>
            <w:shd w:val="clear" w:color="000000" w:fill="D9D9D9"/>
            <w:vAlign w:val="bottom"/>
          </w:tcPr>
          <w:p w14:paraId="41196F87" w14:textId="77777777" w:rsidR="00C85902" w:rsidRPr="009F2A1D" w:rsidRDefault="00C85902" w:rsidP="008E15CC">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S3</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14:paraId="07D86A49" w14:textId="77777777" w:rsidR="00C85902" w:rsidRPr="009F2A1D" w:rsidRDefault="00C85902" w:rsidP="008E15CC">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0,76</w:t>
            </w:r>
          </w:p>
        </w:tc>
        <w:tc>
          <w:tcPr>
            <w:tcW w:w="2212" w:type="dxa"/>
            <w:tcBorders>
              <w:top w:val="nil"/>
              <w:left w:val="nil"/>
              <w:bottom w:val="single" w:sz="4" w:space="0" w:color="auto"/>
              <w:right w:val="single" w:sz="4" w:space="0" w:color="auto"/>
            </w:tcBorders>
            <w:shd w:val="clear" w:color="000000" w:fill="D9D9D9"/>
            <w:vAlign w:val="center"/>
            <w:hideMark/>
          </w:tcPr>
          <w:p w14:paraId="147216A3" w14:textId="77777777" w:rsidR="00C85902" w:rsidRPr="002B6705" w:rsidRDefault="00C85902" w:rsidP="008E15CC">
            <w:pPr>
              <w:spacing w:after="0" w:line="240" w:lineRule="auto"/>
              <w:jc w:val="center"/>
              <w:rPr>
                <w:rFonts w:eastAsia="Times New Roman" w:cs="Arial"/>
                <w:sz w:val="20"/>
                <w:szCs w:val="20"/>
                <w:lang w:eastAsia="de-DE"/>
              </w:rPr>
            </w:pPr>
            <w:r w:rsidRPr="002B6705">
              <w:rPr>
                <w:rFonts w:eastAsia="Times New Roman" w:cs="Arial"/>
                <w:sz w:val="20"/>
                <w:szCs w:val="20"/>
                <w:lang w:eastAsia="de-DE"/>
              </w:rPr>
              <w:t>0,175</w:t>
            </w:r>
          </w:p>
        </w:tc>
        <w:tc>
          <w:tcPr>
            <w:tcW w:w="2770" w:type="dxa"/>
            <w:tcBorders>
              <w:top w:val="nil"/>
              <w:left w:val="nil"/>
              <w:bottom w:val="single" w:sz="4" w:space="0" w:color="auto"/>
              <w:right w:val="single" w:sz="4" w:space="0" w:color="auto"/>
            </w:tcBorders>
            <w:shd w:val="clear" w:color="000000" w:fill="D9D9D9"/>
            <w:noWrap/>
            <w:vAlign w:val="bottom"/>
            <w:hideMark/>
          </w:tcPr>
          <w:p w14:paraId="77DB33D1" w14:textId="77777777" w:rsidR="00C85902" w:rsidRPr="002B6705" w:rsidRDefault="00C85902" w:rsidP="008E15CC">
            <w:pPr>
              <w:spacing w:after="0" w:line="240" w:lineRule="auto"/>
              <w:jc w:val="right"/>
              <w:rPr>
                <w:rFonts w:ascii="Calibri" w:eastAsia="Times New Roman" w:hAnsi="Calibri" w:cs="Calibri"/>
                <w:lang w:eastAsia="de-DE"/>
              </w:rPr>
            </w:pPr>
            <w:r w:rsidRPr="002B6705">
              <w:rPr>
                <w:rFonts w:ascii="Calibri" w:eastAsia="Times New Roman" w:hAnsi="Calibri" w:cs="Calibri"/>
                <w:sz w:val="22"/>
                <w:lang w:eastAsia="de-DE"/>
              </w:rPr>
              <w:t>0,112</w:t>
            </w:r>
          </w:p>
        </w:tc>
      </w:tr>
      <w:tr w:rsidR="00C85902" w:rsidRPr="009F2A1D" w14:paraId="2E26CD3E" w14:textId="77777777" w:rsidTr="008E15CC">
        <w:trPr>
          <w:trHeight w:val="306"/>
        </w:trPr>
        <w:tc>
          <w:tcPr>
            <w:tcW w:w="1640" w:type="dxa"/>
            <w:tcBorders>
              <w:top w:val="nil"/>
              <w:left w:val="nil"/>
              <w:bottom w:val="nil"/>
              <w:right w:val="nil"/>
            </w:tcBorders>
            <w:shd w:val="clear" w:color="000000" w:fill="D9D9D9"/>
            <w:noWrap/>
            <w:vAlign w:val="bottom"/>
            <w:hideMark/>
          </w:tcPr>
          <w:p w14:paraId="0B27F804" w14:textId="77777777" w:rsidR="00C85902" w:rsidRPr="009F2A1D" w:rsidRDefault="00C85902" w:rsidP="008E15CC">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 </w:t>
            </w:r>
          </w:p>
        </w:tc>
        <w:tc>
          <w:tcPr>
            <w:tcW w:w="364" w:type="dxa"/>
            <w:tcBorders>
              <w:top w:val="nil"/>
              <w:left w:val="single" w:sz="4" w:space="0" w:color="auto"/>
              <w:bottom w:val="single" w:sz="4" w:space="0" w:color="auto"/>
              <w:right w:val="single" w:sz="4" w:space="0" w:color="auto"/>
            </w:tcBorders>
            <w:shd w:val="clear" w:color="000000" w:fill="D9D9D9"/>
          </w:tcPr>
          <w:p w14:paraId="1762763D" w14:textId="77777777" w:rsidR="00C85902" w:rsidRPr="009F2A1D" w:rsidRDefault="00C85902" w:rsidP="008E15CC">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S4</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14:paraId="375ED242" w14:textId="77777777" w:rsidR="00C85902" w:rsidRPr="009F2A1D" w:rsidRDefault="00C85902" w:rsidP="008E15CC">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0,38</w:t>
            </w:r>
          </w:p>
        </w:tc>
        <w:tc>
          <w:tcPr>
            <w:tcW w:w="2212" w:type="dxa"/>
            <w:tcBorders>
              <w:top w:val="nil"/>
              <w:left w:val="nil"/>
              <w:bottom w:val="single" w:sz="4" w:space="0" w:color="auto"/>
              <w:right w:val="single" w:sz="4" w:space="0" w:color="auto"/>
            </w:tcBorders>
            <w:shd w:val="clear" w:color="000000" w:fill="D9D9D9"/>
            <w:vAlign w:val="center"/>
            <w:hideMark/>
          </w:tcPr>
          <w:p w14:paraId="4BB50E7C" w14:textId="77777777" w:rsidR="00C85902" w:rsidRPr="002B6705" w:rsidRDefault="00C85902" w:rsidP="008E15CC">
            <w:pPr>
              <w:spacing w:after="0" w:line="240" w:lineRule="auto"/>
              <w:jc w:val="center"/>
              <w:rPr>
                <w:rFonts w:eastAsia="Times New Roman" w:cs="Arial"/>
                <w:sz w:val="20"/>
                <w:szCs w:val="20"/>
                <w:lang w:eastAsia="de-DE"/>
              </w:rPr>
            </w:pPr>
            <w:r w:rsidRPr="002B6705">
              <w:rPr>
                <w:rFonts w:eastAsia="Times New Roman" w:cs="Arial"/>
                <w:sz w:val="20"/>
                <w:szCs w:val="20"/>
                <w:lang w:eastAsia="de-DE"/>
              </w:rPr>
              <w:t>0,152</w:t>
            </w:r>
          </w:p>
        </w:tc>
        <w:tc>
          <w:tcPr>
            <w:tcW w:w="2770" w:type="dxa"/>
            <w:tcBorders>
              <w:top w:val="nil"/>
              <w:left w:val="nil"/>
              <w:bottom w:val="single" w:sz="4" w:space="0" w:color="auto"/>
              <w:right w:val="single" w:sz="4" w:space="0" w:color="auto"/>
            </w:tcBorders>
            <w:shd w:val="clear" w:color="000000" w:fill="D9D9D9"/>
            <w:noWrap/>
            <w:vAlign w:val="bottom"/>
            <w:hideMark/>
          </w:tcPr>
          <w:p w14:paraId="7BF98316" w14:textId="77777777" w:rsidR="00C85902" w:rsidRPr="002B6705" w:rsidRDefault="00C85902" w:rsidP="008E15CC">
            <w:pPr>
              <w:spacing w:after="0" w:line="240" w:lineRule="auto"/>
              <w:jc w:val="right"/>
              <w:rPr>
                <w:rFonts w:ascii="Calibri" w:eastAsia="Times New Roman" w:hAnsi="Calibri" w:cs="Calibri"/>
                <w:lang w:eastAsia="de-DE"/>
              </w:rPr>
            </w:pPr>
            <w:r w:rsidRPr="002B6705">
              <w:rPr>
                <w:rFonts w:ascii="Calibri" w:eastAsia="Times New Roman" w:hAnsi="Calibri" w:cs="Calibri"/>
                <w:sz w:val="22"/>
                <w:lang w:eastAsia="de-DE"/>
              </w:rPr>
              <w:t>0,089</w:t>
            </w:r>
          </w:p>
        </w:tc>
      </w:tr>
      <w:tr w:rsidR="00C85902" w:rsidRPr="009F2A1D" w14:paraId="593E70AF" w14:textId="77777777" w:rsidTr="008E15CC">
        <w:trPr>
          <w:trHeight w:val="306"/>
        </w:trPr>
        <w:tc>
          <w:tcPr>
            <w:tcW w:w="1640" w:type="dxa"/>
            <w:tcBorders>
              <w:top w:val="nil"/>
              <w:left w:val="nil"/>
              <w:bottom w:val="nil"/>
              <w:right w:val="nil"/>
            </w:tcBorders>
            <w:shd w:val="clear" w:color="000000" w:fill="D9D9D9"/>
            <w:noWrap/>
            <w:vAlign w:val="bottom"/>
            <w:hideMark/>
          </w:tcPr>
          <w:p w14:paraId="219C8CE1" w14:textId="77777777" w:rsidR="00C85902" w:rsidRPr="009F2A1D" w:rsidRDefault="00C85902" w:rsidP="008E15CC">
            <w:pPr>
              <w:spacing w:after="0" w:line="240" w:lineRule="auto"/>
              <w:rPr>
                <w:rFonts w:ascii="Calibri" w:eastAsia="Times New Roman" w:hAnsi="Calibri" w:cs="Calibri"/>
                <w:color w:val="000000"/>
                <w:lang w:eastAsia="de-DE"/>
              </w:rPr>
            </w:pPr>
            <w:r w:rsidRPr="009F2A1D">
              <w:rPr>
                <w:rFonts w:ascii="Calibri" w:eastAsia="Times New Roman" w:hAnsi="Calibri" w:cs="Calibri"/>
                <w:color w:val="000000"/>
                <w:sz w:val="22"/>
                <w:lang w:eastAsia="de-DE"/>
              </w:rPr>
              <w:t> </w:t>
            </w:r>
          </w:p>
        </w:tc>
        <w:tc>
          <w:tcPr>
            <w:tcW w:w="364" w:type="dxa"/>
            <w:tcBorders>
              <w:top w:val="nil"/>
              <w:left w:val="single" w:sz="4" w:space="0" w:color="auto"/>
              <w:bottom w:val="single" w:sz="4" w:space="0" w:color="auto"/>
              <w:right w:val="single" w:sz="4" w:space="0" w:color="auto"/>
            </w:tcBorders>
            <w:shd w:val="clear" w:color="000000" w:fill="D9D9D9"/>
          </w:tcPr>
          <w:p w14:paraId="0DD566E9" w14:textId="77777777" w:rsidR="00C85902" w:rsidRPr="009F2A1D" w:rsidRDefault="00C85902" w:rsidP="008E15CC">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S5</w:t>
            </w:r>
          </w:p>
        </w:tc>
        <w:tc>
          <w:tcPr>
            <w:tcW w:w="1454" w:type="dxa"/>
            <w:tcBorders>
              <w:top w:val="nil"/>
              <w:left w:val="single" w:sz="4" w:space="0" w:color="auto"/>
              <w:bottom w:val="single" w:sz="4" w:space="0" w:color="auto"/>
              <w:right w:val="single" w:sz="4" w:space="0" w:color="auto"/>
            </w:tcBorders>
            <w:shd w:val="clear" w:color="000000" w:fill="D9D9D9"/>
            <w:noWrap/>
            <w:vAlign w:val="bottom"/>
            <w:hideMark/>
          </w:tcPr>
          <w:p w14:paraId="4ED9C3F2" w14:textId="77777777" w:rsidR="00C85902" w:rsidRPr="009F2A1D" w:rsidRDefault="00C85902" w:rsidP="008E15CC">
            <w:pPr>
              <w:spacing w:after="0" w:line="240" w:lineRule="auto"/>
              <w:jc w:val="right"/>
              <w:rPr>
                <w:rFonts w:ascii="Calibri" w:eastAsia="Times New Roman" w:hAnsi="Calibri" w:cs="Calibri"/>
                <w:color w:val="000000"/>
                <w:lang w:eastAsia="de-DE"/>
              </w:rPr>
            </w:pPr>
            <w:r w:rsidRPr="009F2A1D">
              <w:rPr>
                <w:rFonts w:ascii="Calibri" w:eastAsia="Times New Roman" w:hAnsi="Calibri" w:cs="Calibri"/>
                <w:color w:val="000000"/>
                <w:sz w:val="22"/>
                <w:lang w:eastAsia="de-DE"/>
              </w:rPr>
              <w:t>0,19</w:t>
            </w:r>
          </w:p>
        </w:tc>
        <w:tc>
          <w:tcPr>
            <w:tcW w:w="2212" w:type="dxa"/>
            <w:tcBorders>
              <w:top w:val="nil"/>
              <w:left w:val="nil"/>
              <w:bottom w:val="single" w:sz="4" w:space="0" w:color="auto"/>
              <w:right w:val="single" w:sz="4" w:space="0" w:color="auto"/>
            </w:tcBorders>
            <w:shd w:val="clear" w:color="000000" w:fill="D9D9D9"/>
            <w:vAlign w:val="center"/>
            <w:hideMark/>
          </w:tcPr>
          <w:p w14:paraId="133F09D0" w14:textId="77777777" w:rsidR="00C85902" w:rsidRPr="002B6705" w:rsidRDefault="00C85902" w:rsidP="008E15CC">
            <w:pPr>
              <w:spacing w:after="0" w:line="240" w:lineRule="auto"/>
              <w:jc w:val="center"/>
              <w:rPr>
                <w:rFonts w:eastAsia="Times New Roman" w:cs="Arial"/>
                <w:sz w:val="20"/>
                <w:szCs w:val="20"/>
                <w:lang w:eastAsia="de-DE"/>
              </w:rPr>
            </w:pPr>
            <w:r w:rsidRPr="002B6705">
              <w:rPr>
                <w:rFonts w:eastAsia="Times New Roman" w:cs="Arial"/>
                <w:sz w:val="20"/>
                <w:szCs w:val="20"/>
                <w:lang w:eastAsia="de-DE"/>
              </w:rPr>
              <w:t>0,097</w:t>
            </w:r>
          </w:p>
        </w:tc>
        <w:tc>
          <w:tcPr>
            <w:tcW w:w="2770" w:type="dxa"/>
            <w:tcBorders>
              <w:top w:val="nil"/>
              <w:left w:val="nil"/>
              <w:bottom w:val="single" w:sz="4" w:space="0" w:color="auto"/>
              <w:right w:val="single" w:sz="4" w:space="0" w:color="auto"/>
            </w:tcBorders>
            <w:shd w:val="clear" w:color="000000" w:fill="D9D9D9"/>
            <w:noWrap/>
            <w:vAlign w:val="bottom"/>
            <w:hideMark/>
          </w:tcPr>
          <w:p w14:paraId="74681D71" w14:textId="77777777" w:rsidR="00C85902" w:rsidRPr="002B6705" w:rsidRDefault="00C85902" w:rsidP="008E15CC">
            <w:pPr>
              <w:spacing w:after="0" w:line="240" w:lineRule="auto"/>
              <w:jc w:val="right"/>
              <w:rPr>
                <w:rFonts w:ascii="Calibri" w:eastAsia="Times New Roman" w:hAnsi="Calibri" w:cs="Calibri"/>
                <w:lang w:eastAsia="de-DE"/>
              </w:rPr>
            </w:pPr>
            <w:r w:rsidRPr="002B6705">
              <w:rPr>
                <w:rFonts w:ascii="Calibri" w:eastAsia="Times New Roman" w:hAnsi="Calibri" w:cs="Calibri"/>
                <w:sz w:val="22"/>
                <w:lang w:eastAsia="de-DE"/>
              </w:rPr>
              <w:t>0,034</w:t>
            </w:r>
          </w:p>
        </w:tc>
      </w:tr>
    </w:tbl>
    <w:p w14:paraId="4B75D47F" w14:textId="77777777" w:rsidR="00C85902" w:rsidRDefault="00C85902" w:rsidP="00A55D22">
      <w:pPr>
        <w:pStyle w:val="Beschriftung"/>
      </w:pPr>
    </w:p>
    <w:p w14:paraId="0265EDB3" w14:textId="77777777" w:rsidR="00C85902" w:rsidRDefault="00C85902" w:rsidP="007D5837">
      <w:pPr>
        <w:keepNext/>
      </w:pPr>
      <w:r>
        <w:rPr>
          <w:noProof/>
        </w:rPr>
        <w:drawing>
          <wp:inline distT="0" distB="0" distL="0" distR="0" wp14:anchorId="37265D13" wp14:editId="55CD784B">
            <wp:extent cx="4725015" cy="2732901"/>
            <wp:effectExtent l="0" t="0" r="0" b="0"/>
            <wp:docPr id="3" name="Diagramm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C8C2D" w14:textId="79F79779" w:rsidR="00C85902" w:rsidRPr="008E15CC" w:rsidRDefault="00C85902" w:rsidP="007D5837">
      <w:pPr>
        <w:pStyle w:val="Beschriftung"/>
        <w:rPr>
          <w:vanish/>
          <w:specVanish/>
        </w:rPr>
      </w:pPr>
      <w:bookmarkStart w:id="107" w:name="_Ref120297376"/>
      <w:bookmarkStart w:id="108" w:name="_Toc120649884"/>
      <w:r>
        <w:t xml:space="preserve">Abbildung </w:t>
      </w:r>
      <w:r>
        <w:fldChar w:fldCharType="begin"/>
      </w:r>
      <w:r>
        <w:instrText xml:space="preserve"> SEQ Abbildung \* ARABIC </w:instrText>
      </w:r>
      <w:r>
        <w:fldChar w:fldCharType="separate"/>
      </w:r>
      <w:r w:rsidR="00791554">
        <w:rPr>
          <w:noProof/>
        </w:rPr>
        <w:t>7</w:t>
      </w:r>
      <w:r>
        <w:rPr>
          <w:noProof/>
        </w:rPr>
        <w:fldChar w:fldCharType="end"/>
      </w:r>
      <w:bookmarkEnd w:id="107"/>
      <w:r>
        <w:t xml:space="preserve"> Kalibrierung</w:t>
      </w:r>
      <w:bookmarkEnd w:id="108"/>
      <w:r>
        <w:t xml:space="preserve"> </w:t>
      </w:r>
    </w:p>
    <w:p w14:paraId="487A4AE7" w14:textId="77777777" w:rsidR="00C85902" w:rsidRDefault="00C85902" w:rsidP="007D5837">
      <w:pPr>
        <w:pStyle w:val="Beschriftung"/>
      </w:pPr>
      <w:r>
        <w:t xml:space="preserve"> </w:t>
      </w:r>
      <w:r>
        <w:br/>
        <w:t>In dieser Abbildung ist die Kalibrierungslinie dargestellt, welche sich durch die in den Proteinstandards enthaltene Proteinmenge und die bei 600nm gemessene Extinktion ergibt.</w:t>
      </w:r>
      <w:r>
        <w:br/>
      </w:r>
    </w:p>
    <w:p w14:paraId="16986560" w14:textId="77777777" w:rsidR="00C85902" w:rsidRDefault="00C85902" w:rsidP="00A55D22">
      <w:r>
        <w:t>Formel der Steigung und</w:t>
      </w:r>
      <w:r w:rsidRPr="00E76ACF">
        <w:t xml:space="preserve"> </w:t>
      </w:r>
      <w:r>
        <w:t>Formel Achsenabschnitt:</w:t>
      </w:r>
    </w:p>
    <w:p w14:paraId="6F75C51A" w14:textId="77777777" w:rsidR="00C85902" w:rsidRPr="002B6705" w:rsidRDefault="00C85902" w:rsidP="00A55D22">
      <w:pPr>
        <w:rPr>
          <w:rFonts w:eastAsiaTheme="minorEastAsia"/>
          <w:sz w:val="22"/>
          <w:szCs w:val="20"/>
        </w:rPr>
      </w:pPr>
      <m:oMathPara>
        <m:oMath>
          <m:r>
            <w:rPr>
              <w:rFonts w:ascii="Cambria Math" w:eastAsiaTheme="minorEastAsia" w:hAnsi="Cambria Math"/>
              <w:sz w:val="22"/>
              <w:szCs w:val="20"/>
            </w:rPr>
            <m:t>y=mx+n</m:t>
          </m:r>
        </m:oMath>
      </m:oMathPara>
    </w:p>
    <w:p w14:paraId="14175D40" w14:textId="77777777" w:rsidR="00C85902" w:rsidRPr="002B6705" w:rsidRDefault="00C85902" w:rsidP="00A55D22">
      <w:pPr>
        <w:rPr>
          <w:rFonts w:eastAsiaTheme="minorEastAsia"/>
          <w:sz w:val="22"/>
          <w:szCs w:val="20"/>
        </w:rPr>
      </w:pPr>
      <m:oMathPara>
        <m:oMath>
          <m:r>
            <w:rPr>
              <w:rFonts w:ascii="Cambria Math" w:hAnsi="Cambria Math"/>
              <w:sz w:val="22"/>
              <w:szCs w:val="20"/>
            </w:rPr>
            <m:t>m=</m:t>
          </m:r>
          <m:f>
            <m:fPr>
              <m:ctrlPr>
                <w:rPr>
                  <w:rFonts w:ascii="Cambria Math" w:hAnsi="Cambria Math"/>
                  <w:i/>
                  <w:sz w:val="22"/>
                  <w:szCs w:val="20"/>
                </w:rPr>
              </m:ctrlPr>
            </m:fPr>
            <m:num>
              <m:r>
                <w:rPr>
                  <w:rFonts w:ascii="Cambria Math" w:hAnsi="Cambria Math"/>
                  <w:sz w:val="22"/>
                  <w:szCs w:val="20"/>
                </w:rPr>
                <m:t>Y2-Y1</m:t>
              </m:r>
            </m:num>
            <m:den>
              <m:r>
                <w:rPr>
                  <w:rFonts w:ascii="Cambria Math" w:hAnsi="Cambria Math"/>
                  <w:sz w:val="22"/>
                  <w:szCs w:val="20"/>
                </w:rPr>
                <m:t>X2-X1</m:t>
              </m:r>
            </m:den>
          </m:f>
        </m:oMath>
      </m:oMathPara>
    </w:p>
    <w:p w14:paraId="5F611BD1" w14:textId="03A1D094" w:rsidR="00C85902" w:rsidRDefault="00C85902" w:rsidP="00A55D22">
      <w:r>
        <w:t>Im Anschluss daran wurde für die Dreifachwerte jeder Probe auch der Mittelwert bestimmt und von diesem der Leerwert abgezogen. Danach wurde die Standardabweichung jeder Probe berechnet</w:t>
      </w:r>
    </w:p>
    <w:p w14:paraId="2B750A47" w14:textId="77777777" w:rsidR="00C85902" w:rsidRDefault="00C85902" w:rsidP="00A55D22">
      <w:r>
        <w:t>Nun konnte die absolute Konzentration jeder Probe wie folgt berechnet werden:</w:t>
      </w:r>
    </w:p>
    <w:p w14:paraId="4418081B" w14:textId="77777777" w:rsidR="00C85902" w:rsidRDefault="00C85902" w:rsidP="00A55D22">
      <w:pPr>
        <w:rPr>
          <w:rFonts w:eastAsiaTheme="minorEastAsia"/>
        </w:rPr>
      </w:pPr>
      <w:r w:rsidRPr="002B6705">
        <w:rPr>
          <w:sz w:val="22"/>
          <w:szCs w:val="20"/>
        </w:rPr>
        <w:t xml:space="preserve"> </w:t>
      </w:r>
      <m:oMath>
        <m:r>
          <w:rPr>
            <w:rFonts w:ascii="Cambria Math" w:hAnsi="Cambria Math"/>
            <w:sz w:val="22"/>
            <w:szCs w:val="20"/>
          </w:rPr>
          <m:t>absolute Konzentration=</m:t>
        </m:r>
        <m:d>
          <m:dPr>
            <m:ctrlPr>
              <w:rPr>
                <w:rFonts w:ascii="Cambria Math" w:hAnsi="Cambria Math"/>
                <w:i/>
                <w:sz w:val="22"/>
                <w:szCs w:val="20"/>
              </w:rPr>
            </m:ctrlPr>
          </m:dPr>
          <m:e>
            <m:f>
              <m:fPr>
                <m:ctrlPr>
                  <w:rPr>
                    <w:rFonts w:ascii="Cambria Math" w:hAnsi="Cambria Math"/>
                    <w:i/>
                    <w:sz w:val="22"/>
                    <w:szCs w:val="20"/>
                  </w:rPr>
                </m:ctrlPr>
              </m:fPr>
              <m:num>
                <m:d>
                  <m:dPr>
                    <m:ctrlPr>
                      <w:rPr>
                        <w:rFonts w:ascii="Cambria Math" w:hAnsi="Cambria Math"/>
                        <w:i/>
                        <w:sz w:val="22"/>
                        <w:szCs w:val="20"/>
                      </w:rPr>
                    </m:ctrlPr>
                  </m:dPr>
                  <m:e>
                    <m:r>
                      <w:rPr>
                        <w:rFonts w:ascii="Cambria Math" w:hAnsi="Cambria Math"/>
                        <w:sz w:val="22"/>
                        <w:szCs w:val="20"/>
                      </w:rPr>
                      <m:t>Probenmittelwert-Achsenabschnitt</m:t>
                    </m:r>
                  </m:e>
                </m:d>
              </m:num>
              <m:den>
                <m:r>
                  <w:rPr>
                    <w:rFonts w:ascii="Cambria Math" w:hAnsi="Cambria Math"/>
                    <w:sz w:val="22"/>
                    <w:szCs w:val="20"/>
                  </w:rPr>
                  <m:t>Steigung</m:t>
                </m:r>
              </m:den>
            </m:f>
          </m:e>
        </m:d>
        <m:r>
          <w:rPr>
            <w:rFonts w:ascii="Cambria Math" w:hAnsi="Cambria Math"/>
            <w:sz w:val="22"/>
            <w:szCs w:val="20"/>
          </w:rPr>
          <m:t>×VF</m:t>
        </m:r>
        <m:r>
          <w:rPr>
            <w:rFonts w:ascii="Cambria Math" w:eastAsiaTheme="minorEastAsia" w:hAnsi="Cambria Math"/>
            <w:sz w:val="22"/>
            <w:szCs w:val="20"/>
          </w:rPr>
          <m:t xml:space="preserve"> </m:t>
        </m:r>
        <m:r>
          <m:rPr>
            <m:sty m:val="p"/>
          </m:rPr>
          <w:rPr>
            <w:rFonts w:ascii="Cambria Math" w:eastAsiaTheme="minorEastAsia" w:hAnsi="Cambria Math"/>
            <w:sz w:val="22"/>
            <w:szCs w:val="20"/>
          </w:rPr>
          <w:br/>
        </m:r>
        <m:r>
          <w:rPr>
            <w:rFonts w:ascii="Cambria Math" w:eastAsiaTheme="minorEastAsia" w:hAnsi="Cambria Math"/>
            <w:sz w:val="22"/>
            <w:szCs w:val="20"/>
          </w:rPr>
          <m:t>VF=Verdünnungsfaktor= 5</m:t>
        </m:r>
      </m:oMath>
      <w:r>
        <w:rPr>
          <w:rFonts w:eastAsiaTheme="minorEastAsia"/>
        </w:rPr>
        <w:t xml:space="preserve"> </w:t>
      </w:r>
    </w:p>
    <w:p w14:paraId="68FBC421" w14:textId="77777777" w:rsidR="00C85902" w:rsidRDefault="00C85902" w:rsidP="00A55D22">
      <w:pPr>
        <w:rPr>
          <w:rFonts w:eastAsiaTheme="minorEastAsia"/>
        </w:rPr>
      </w:pPr>
    </w:p>
    <w:p w14:paraId="1DA01B67" w14:textId="77777777" w:rsidR="00C85902" w:rsidRDefault="00C85902" w:rsidP="00A55D22">
      <w:pPr>
        <w:rPr>
          <w:rFonts w:eastAsiaTheme="minorEastAsia"/>
        </w:rPr>
      </w:pPr>
      <w:r>
        <w:rPr>
          <w:rFonts w:eastAsiaTheme="minorEastAsia"/>
        </w:rPr>
        <w:t>Danach wurde für jede Probe berechnet:</w:t>
      </w:r>
    </w:p>
    <w:p w14:paraId="22480A19" w14:textId="77777777" w:rsidR="00C85902" w:rsidRPr="002B6705" w:rsidRDefault="00C85902" w:rsidP="00A55D22">
      <w:pPr>
        <w:rPr>
          <w:rFonts w:eastAsiaTheme="minorEastAsia"/>
          <w:sz w:val="22"/>
          <w:szCs w:val="20"/>
        </w:rPr>
      </w:pPr>
      <m:oMathPara>
        <m:oMath>
          <m:r>
            <w:rPr>
              <w:rFonts w:ascii="Cambria Math" w:eastAsiaTheme="minorEastAsia" w:hAnsi="Cambria Math"/>
              <w:sz w:val="22"/>
              <w:szCs w:val="20"/>
            </w:rPr>
            <m:t>V2=</m:t>
          </m:r>
          <m:d>
            <m:dPr>
              <m:ctrlPr>
                <w:rPr>
                  <w:rFonts w:ascii="Cambria Math" w:eastAsiaTheme="minorEastAsia" w:hAnsi="Cambria Math"/>
                  <w:i/>
                  <w:sz w:val="22"/>
                  <w:szCs w:val="20"/>
                </w:rPr>
              </m:ctrlPr>
            </m:dPr>
            <m:e>
              <m:f>
                <m:fPr>
                  <m:ctrlPr>
                    <w:rPr>
                      <w:rFonts w:ascii="Cambria Math" w:eastAsiaTheme="minorEastAsia" w:hAnsi="Cambria Math"/>
                      <w:i/>
                      <w:sz w:val="22"/>
                      <w:szCs w:val="20"/>
                    </w:rPr>
                  </m:ctrlPr>
                </m:fPr>
                <m:num>
                  <m:d>
                    <m:dPr>
                      <m:ctrlPr>
                        <w:rPr>
                          <w:rFonts w:ascii="Cambria Math" w:eastAsiaTheme="minorEastAsia" w:hAnsi="Cambria Math"/>
                          <w:i/>
                          <w:sz w:val="22"/>
                          <w:szCs w:val="20"/>
                        </w:rPr>
                      </m:ctrlPr>
                    </m:dPr>
                    <m:e>
                      <m:r>
                        <w:rPr>
                          <w:rFonts w:ascii="Cambria Math" w:eastAsiaTheme="minorEastAsia" w:hAnsi="Cambria Math"/>
                          <w:sz w:val="22"/>
                          <w:szCs w:val="20"/>
                        </w:rPr>
                        <m:t>absolute Konzentration×0,05</m:t>
                      </m:r>
                    </m:e>
                  </m:d>
                </m:num>
                <m:den>
                  <m:r>
                    <w:rPr>
                      <w:rFonts w:ascii="Cambria Math" w:eastAsiaTheme="minorEastAsia" w:hAnsi="Cambria Math"/>
                      <w:sz w:val="22"/>
                      <w:szCs w:val="20"/>
                    </w:rPr>
                    <m:t>2</m:t>
                  </m:r>
                </m:den>
              </m:f>
            </m:e>
          </m:d>
          <m:r>
            <w:rPr>
              <w:rFonts w:ascii="Cambria Math" w:eastAsiaTheme="minorEastAsia" w:hAnsi="Cambria Math"/>
              <w:sz w:val="22"/>
              <w:szCs w:val="20"/>
            </w:rPr>
            <m:t>×1000</m:t>
          </m:r>
        </m:oMath>
      </m:oMathPara>
    </w:p>
    <w:p w14:paraId="40B82617" w14:textId="77777777" w:rsidR="00C85902" w:rsidRPr="002B6705" w:rsidRDefault="00C85902" w:rsidP="00A55D22">
      <w:pPr>
        <w:rPr>
          <w:rFonts w:eastAsiaTheme="minorEastAsia"/>
          <w:sz w:val="22"/>
          <w:szCs w:val="20"/>
        </w:rPr>
      </w:pPr>
    </w:p>
    <w:p w14:paraId="739A255B" w14:textId="77777777" w:rsidR="00C85902" w:rsidRDefault="00C85902" w:rsidP="0023784A">
      <w:pPr>
        <w:rPr>
          <w:rFonts w:cs="Arial"/>
        </w:rPr>
      </w:pPr>
      <w:r>
        <w:t>Im nächsten Schritt konnte die benötigte Verdünnung berechnet werden, welche bei 50</w:t>
      </w:r>
      <w:r w:rsidRPr="00F553AE">
        <w:rPr>
          <w:w w:val="50"/>
        </w:rPr>
        <w:t> </w:t>
      </w:r>
      <w:r>
        <w:rPr>
          <w:rFonts w:cs="Arial"/>
        </w:rPr>
        <w:t xml:space="preserve">µl der jeweiligen Probe mit </w:t>
      </w:r>
      <w:r>
        <w:t>RIPA+ und Lämmli -Puffer erfolgen musste, um eine Konzentration von 2</w:t>
      </w:r>
      <w:r w:rsidRPr="00F553AE">
        <w:rPr>
          <w:w w:val="50"/>
        </w:rPr>
        <w:t> </w:t>
      </w:r>
      <w:r>
        <w:t>mg/ml zu erhalten. Bei der Zelllinie T24 ergab sich hierbei eine zu niedrige Proteinkonzentration, sodass für diese Probe eine Konzentration von 1</w:t>
      </w:r>
      <w:r w:rsidRPr="00F553AE">
        <w:rPr>
          <w:w w:val="50"/>
        </w:rPr>
        <w:t> </w:t>
      </w:r>
      <w:r>
        <w:t xml:space="preserve">mg/ml gewählt wurde. </w:t>
      </w:r>
    </w:p>
    <w:p w14:paraId="7B980E90" w14:textId="77777777" w:rsidR="00C85902" w:rsidRDefault="00C85902" w:rsidP="00A55D22">
      <w:pPr>
        <w:rPr>
          <w:rFonts w:eastAsiaTheme="minorEastAsia"/>
        </w:rPr>
      </w:pPr>
      <w:r>
        <w:rPr>
          <w:rFonts w:eastAsiaTheme="minorEastAsia"/>
        </w:rPr>
        <w:t>Von den V2 Werten wurden jeweils 50</w:t>
      </w:r>
      <w:r w:rsidRPr="00F553AE">
        <w:rPr>
          <w:w w:val="50"/>
        </w:rPr>
        <w:t> </w:t>
      </w:r>
      <w:r>
        <w:rPr>
          <w:rFonts w:eastAsiaTheme="minorEastAsia" w:cs="Arial"/>
        </w:rPr>
        <w:t xml:space="preserve">µl (die Menge der Probe) </w:t>
      </w:r>
      <w:r>
        <w:rPr>
          <w:rFonts w:eastAsiaTheme="minorEastAsia"/>
        </w:rPr>
        <w:t xml:space="preserve">abgezogen und so die Menge an RIPA+ ermittelt. </w:t>
      </w:r>
    </w:p>
    <w:p w14:paraId="1373A9EB" w14:textId="77777777" w:rsidR="00C85902" w:rsidRDefault="00C85902" w:rsidP="00A55D22">
      <w:pPr>
        <w:rPr>
          <w:rFonts w:eastAsiaTheme="minorEastAsia"/>
        </w:rPr>
      </w:pPr>
      <w:r>
        <w:rPr>
          <w:rFonts w:eastAsiaTheme="minorEastAsia"/>
        </w:rPr>
        <w:t>Außerdem wurde die Menge an Lämmli Puffer mit nachstehender Formel ermittelt:</w:t>
      </w:r>
    </w:p>
    <w:p w14:paraId="574A5CBC" w14:textId="77777777" w:rsidR="00C85902" w:rsidRPr="002B6705" w:rsidRDefault="00C85902" w:rsidP="00A55D22">
      <w:pPr>
        <w:rPr>
          <w:rFonts w:eastAsiaTheme="minorEastAsia"/>
          <w:sz w:val="22"/>
          <w:szCs w:val="20"/>
        </w:rPr>
      </w:pPr>
      <m:oMathPara>
        <m:oMath>
          <m:r>
            <w:rPr>
              <w:rFonts w:ascii="Cambria Math" w:eastAsiaTheme="minorEastAsia" w:hAnsi="Cambria Math"/>
              <w:sz w:val="22"/>
              <w:szCs w:val="20"/>
            </w:rPr>
            <m:t>Menge an Lämmli in µl=</m:t>
          </m:r>
          <m:d>
            <m:dPr>
              <m:ctrlPr>
                <w:rPr>
                  <w:rFonts w:ascii="Cambria Math" w:eastAsiaTheme="minorEastAsia" w:hAnsi="Cambria Math"/>
                  <w:i/>
                  <w:sz w:val="22"/>
                  <w:szCs w:val="20"/>
                </w:rPr>
              </m:ctrlPr>
            </m:dPr>
            <m:e>
              <m:f>
                <m:fPr>
                  <m:ctrlPr>
                    <w:rPr>
                      <w:rFonts w:ascii="Cambria Math" w:eastAsiaTheme="minorEastAsia" w:hAnsi="Cambria Math"/>
                      <w:i/>
                      <w:sz w:val="22"/>
                      <w:szCs w:val="20"/>
                    </w:rPr>
                  </m:ctrlPr>
                </m:fPr>
                <m:num>
                  <m:r>
                    <w:rPr>
                      <w:rFonts w:ascii="Cambria Math" w:eastAsiaTheme="minorEastAsia" w:hAnsi="Cambria Math"/>
                      <w:sz w:val="22"/>
                      <w:szCs w:val="20"/>
                    </w:rPr>
                    <m:t>V2</m:t>
                  </m:r>
                </m:num>
                <m:den>
                  <m:r>
                    <w:rPr>
                      <w:rFonts w:ascii="Cambria Math" w:eastAsiaTheme="minorEastAsia" w:hAnsi="Cambria Math"/>
                      <w:sz w:val="22"/>
                      <w:szCs w:val="20"/>
                    </w:rPr>
                    <m:t>25</m:t>
                  </m:r>
                </m:den>
              </m:f>
            </m:e>
          </m:d>
          <m:r>
            <w:rPr>
              <w:rFonts w:ascii="Cambria Math" w:eastAsiaTheme="minorEastAsia" w:hAnsi="Cambria Math"/>
              <w:sz w:val="22"/>
              <w:szCs w:val="20"/>
            </w:rPr>
            <m:t>×8</m:t>
          </m:r>
        </m:oMath>
      </m:oMathPara>
    </w:p>
    <w:p w14:paraId="5AD47342" w14:textId="77777777" w:rsidR="00C85902" w:rsidRPr="002B6705" w:rsidRDefault="00C85902" w:rsidP="00A55D22">
      <w:pPr>
        <w:rPr>
          <w:rFonts w:eastAsiaTheme="minorEastAsia"/>
          <w:sz w:val="22"/>
          <w:szCs w:val="20"/>
        </w:rPr>
      </w:pPr>
    </w:p>
    <w:p w14:paraId="23569873" w14:textId="77777777" w:rsidR="00C85902" w:rsidRDefault="00C85902" w:rsidP="00A55D22">
      <w:pPr>
        <w:rPr>
          <w:rFonts w:cs="Arial"/>
        </w:rPr>
      </w:pPr>
      <w:r>
        <w:rPr>
          <w:rFonts w:cs="Arial"/>
        </w:rPr>
        <w:t>Nun wurden für jede Probe ein Zentrifugationsröhrchen mit jeweils 50</w:t>
      </w:r>
      <w:r w:rsidRPr="00F553AE">
        <w:rPr>
          <w:w w:val="50"/>
        </w:rPr>
        <w:t> </w:t>
      </w:r>
      <w:r>
        <w:rPr>
          <w:rFonts w:cs="Arial"/>
        </w:rPr>
        <w:t>µl der Probe befüllt und mit der jeweiligen Menge an RIPA+ und Lämmli Puffer ergänzt. Abschließend wurden die Zentrifugationsröhrchen für 10</w:t>
      </w:r>
      <w:r w:rsidRPr="00F553AE">
        <w:rPr>
          <w:w w:val="50"/>
        </w:rPr>
        <w:t> </w:t>
      </w:r>
      <w:r>
        <w:rPr>
          <w:rFonts w:cs="Arial"/>
        </w:rPr>
        <w:t>Minuten bei 95</w:t>
      </w:r>
      <w:r w:rsidRPr="00F553AE">
        <w:rPr>
          <w:w w:val="50"/>
        </w:rPr>
        <w:t> </w:t>
      </w:r>
      <w:r>
        <w:rPr>
          <w:rFonts w:cs="Arial"/>
        </w:rPr>
        <w:t>°C im Thermomixer denaturiert und entweder sofort für den Western Blot genutzt oder auf Dauer bei -20</w:t>
      </w:r>
      <w:r w:rsidRPr="00F553AE">
        <w:rPr>
          <w:w w:val="50"/>
        </w:rPr>
        <w:t> </w:t>
      </w:r>
      <w:r>
        <w:rPr>
          <w:rFonts w:cs="Arial"/>
        </w:rPr>
        <w:t>°C gelagert.</w:t>
      </w:r>
    </w:p>
    <w:p w14:paraId="4C2335B7" w14:textId="77777777" w:rsidR="00C85902" w:rsidRDefault="00C85902" w:rsidP="00A55D22">
      <w:pPr>
        <w:rPr>
          <w:rFonts w:cs="Arial"/>
        </w:rPr>
      </w:pPr>
    </w:p>
    <w:p w14:paraId="7DD08152" w14:textId="77777777" w:rsidR="00C85902" w:rsidRPr="00A55D22" w:rsidRDefault="00C85902" w:rsidP="00A55D22"/>
    <w:p w14:paraId="42FE30CF" w14:textId="77777777" w:rsidR="00C85902" w:rsidRDefault="00C85902" w:rsidP="00697794">
      <w:pPr>
        <w:pStyle w:val="berschrift3"/>
      </w:pPr>
      <w:bookmarkStart w:id="109" w:name="_Toc121158664"/>
      <w:r>
        <w:t>Herstellung des Gels und Proteintrennung mittels SDS-Page</w:t>
      </w:r>
      <w:bookmarkEnd w:id="109"/>
    </w:p>
    <w:p w14:paraId="2CA33F28" w14:textId="77777777" w:rsidR="00C85902" w:rsidRDefault="00C85902" w:rsidP="00F25FC8">
      <w:r w:rsidRPr="004620B2">
        <w:rPr>
          <w:b/>
          <w:bCs/>
          <w:u w:val="single"/>
        </w:rPr>
        <w:t>Material</w:t>
      </w:r>
      <w:r>
        <w:t>:</w:t>
      </w:r>
    </w:p>
    <w:p w14:paraId="0DBA9FBA" w14:textId="65E79EB8" w:rsidR="00C85902" w:rsidRPr="008E15CC" w:rsidRDefault="00C85902" w:rsidP="005C692B">
      <w:pPr>
        <w:pStyle w:val="Beschriftung"/>
        <w:keepNext/>
        <w:rPr>
          <w:vanish/>
          <w:specVanish/>
        </w:rPr>
      </w:pPr>
      <w:bookmarkStart w:id="110" w:name="_Ref120297745"/>
      <w:bookmarkStart w:id="111" w:name="_Toc120649858"/>
      <w:r>
        <w:t xml:space="preserve">Tabelle </w:t>
      </w:r>
      <w:r>
        <w:fldChar w:fldCharType="begin"/>
      </w:r>
      <w:r>
        <w:instrText xml:space="preserve"> SEQ Tabelle \* ARABIC </w:instrText>
      </w:r>
      <w:r>
        <w:fldChar w:fldCharType="separate"/>
      </w:r>
      <w:r w:rsidR="00791554">
        <w:rPr>
          <w:noProof/>
        </w:rPr>
        <w:t>16</w:t>
      </w:r>
      <w:r>
        <w:rPr>
          <w:noProof/>
        </w:rPr>
        <w:fldChar w:fldCharType="end"/>
      </w:r>
      <w:bookmarkEnd w:id="110"/>
      <w:r>
        <w:t xml:space="preserve"> </w:t>
      </w:r>
      <w:r w:rsidRPr="00622625">
        <w:t>Western Blot Material für Gele</w:t>
      </w:r>
      <w:bookmarkEnd w:id="111"/>
      <w:r>
        <w:t xml:space="preserve"> </w:t>
      </w:r>
    </w:p>
    <w:p w14:paraId="4B8E4CE8" w14:textId="77777777" w:rsidR="00C85902" w:rsidRDefault="00C85902" w:rsidP="005C692B">
      <w:pPr>
        <w:pStyle w:val="Beschriftung"/>
        <w:keepNext/>
      </w:pPr>
      <w:r>
        <w:t xml:space="preserve"> </w:t>
      </w:r>
      <w:r>
        <w:br/>
        <w:t xml:space="preserve">In dieser Tabelle sind die Mengenangaben der Materialien zur Herstellung des Gels für die Proteintrennung mittels SDS-Page inklusive der Hersteller aufgeführt. TEMED: </w:t>
      </w:r>
      <w:r w:rsidRPr="00AC14A3">
        <w:rPr>
          <w:rFonts w:cs="Arial"/>
          <w:sz w:val="20"/>
          <w:szCs w:val="20"/>
        </w:rPr>
        <w:t>Tetramethylethylendiamin)</w:t>
      </w:r>
      <w:r>
        <w:rPr>
          <w:rFonts w:cs="Arial"/>
          <w:sz w:val="20"/>
          <w:szCs w:val="20"/>
        </w:rPr>
        <w:t xml:space="preserve"> </w:t>
      </w:r>
      <w:r>
        <w:rPr>
          <w:rFonts w:cs="Arial"/>
          <w:sz w:val="20"/>
          <w:szCs w:val="20"/>
        </w:rPr>
        <w:br/>
        <w:t xml:space="preserve">APS: </w:t>
      </w:r>
      <w:r w:rsidRPr="00994645">
        <w:rPr>
          <w:sz w:val="20"/>
          <w:szCs w:val="20"/>
        </w:rPr>
        <w:t>Ammonium persulfate</w:t>
      </w:r>
    </w:p>
    <w:tbl>
      <w:tblPr>
        <w:tblStyle w:val="Tabellenraster"/>
        <w:tblW w:w="0" w:type="auto"/>
        <w:tblLook w:val="04A0" w:firstRow="1" w:lastRow="0" w:firstColumn="1" w:lastColumn="0" w:noHBand="0" w:noVBand="1"/>
      </w:tblPr>
      <w:tblGrid>
        <w:gridCol w:w="1503"/>
        <w:gridCol w:w="2841"/>
        <w:gridCol w:w="4150"/>
      </w:tblGrid>
      <w:tr w:rsidR="00C85902" w14:paraId="5300BF7A" w14:textId="77777777" w:rsidTr="00994645">
        <w:tc>
          <w:tcPr>
            <w:tcW w:w="1511" w:type="dxa"/>
            <w:shd w:val="clear" w:color="auto" w:fill="E7E6E6" w:themeFill="background2"/>
          </w:tcPr>
          <w:p w14:paraId="2D292BCF" w14:textId="77777777" w:rsidR="00C85902" w:rsidRPr="00AC14A3" w:rsidRDefault="00C85902" w:rsidP="00AC14A3">
            <w:pPr>
              <w:spacing w:line="240" w:lineRule="auto"/>
              <w:jc w:val="center"/>
              <w:rPr>
                <w:b/>
                <w:bCs/>
                <w:sz w:val="20"/>
                <w:szCs w:val="20"/>
              </w:rPr>
            </w:pPr>
            <w:r w:rsidRPr="00AC14A3">
              <w:rPr>
                <w:b/>
                <w:bCs/>
                <w:sz w:val="20"/>
                <w:szCs w:val="20"/>
              </w:rPr>
              <w:t>Menge</w:t>
            </w:r>
          </w:p>
        </w:tc>
        <w:tc>
          <w:tcPr>
            <w:tcW w:w="2882" w:type="dxa"/>
            <w:shd w:val="clear" w:color="auto" w:fill="E7E6E6" w:themeFill="background2"/>
          </w:tcPr>
          <w:p w14:paraId="1F8281A3" w14:textId="77777777" w:rsidR="00C85902" w:rsidRPr="00AC14A3" w:rsidRDefault="00C85902" w:rsidP="00AC14A3">
            <w:pPr>
              <w:spacing w:line="240" w:lineRule="auto"/>
              <w:jc w:val="center"/>
              <w:rPr>
                <w:b/>
                <w:bCs/>
                <w:sz w:val="20"/>
                <w:szCs w:val="20"/>
              </w:rPr>
            </w:pPr>
            <w:r w:rsidRPr="00AC14A3">
              <w:rPr>
                <w:b/>
                <w:bCs/>
                <w:sz w:val="20"/>
                <w:szCs w:val="20"/>
              </w:rPr>
              <w:t>Name</w:t>
            </w:r>
          </w:p>
        </w:tc>
        <w:tc>
          <w:tcPr>
            <w:tcW w:w="4237" w:type="dxa"/>
            <w:shd w:val="clear" w:color="auto" w:fill="E7E6E6" w:themeFill="background2"/>
          </w:tcPr>
          <w:p w14:paraId="6CB41118" w14:textId="77777777" w:rsidR="00C85902" w:rsidRPr="00AC14A3" w:rsidRDefault="00C85902" w:rsidP="00AC14A3">
            <w:pPr>
              <w:spacing w:line="240" w:lineRule="auto"/>
              <w:jc w:val="center"/>
              <w:rPr>
                <w:b/>
                <w:bCs/>
                <w:sz w:val="20"/>
                <w:szCs w:val="20"/>
              </w:rPr>
            </w:pPr>
            <w:r w:rsidRPr="00AC14A3">
              <w:rPr>
                <w:b/>
                <w:bCs/>
                <w:sz w:val="20"/>
                <w:szCs w:val="20"/>
              </w:rPr>
              <w:t>Hersteller</w:t>
            </w:r>
          </w:p>
        </w:tc>
      </w:tr>
      <w:tr w:rsidR="00C85902" w:rsidRPr="00600BBD" w14:paraId="6BE4E688" w14:textId="77777777" w:rsidTr="005C692B">
        <w:tc>
          <w:tcPr>
            <w:tcW w:w="1511" w:type="dxa"/>
          </w:tcPr>
          <w:p w14:paraId="5EBE8B9A" w14:textId="77777777" w:rsidR="00C85902" w:rsidRPr="00AC14A3" w:rsidRDefault="00C85902" w:rsidP="00AC14A3">
            <w:pPr>
              <w:spacing w:line="240" w:lineRule="auto"/>
              <w:rPr>
                <w:sz w:val="20"/>
                <w:szCs w:val="20"/>
              </w:rPr>
            </w:pPr>
            <w:r w:rsidRPr="00AC14A3">
              <w:rPr>
                <w:sz w:val="20"/>
                <w:szCs w:val="20"/>
              </w:rPr>
              <w:t>10</w:t>
            </w:r>
            <w:r w:rsidRPr="00AC14A3">
              <w:rPr>
                <w:w w:val="50"/>
                <w:sz w:val="20"/>
                <w:szCs w:val="20"/>
              </w:rPr>
              <w:t> </w:t>
            </w:r>
            <w:r w:rsidRPr="00AC14A3">
              <w:rPr>
                <w:sz w:val="20"/>
                <w:szCs w:val="20"/>
              </w:rPr>
              <w:t>% Trenngel</w:t>
            </w:r>
            <w:r w:rsidRPr="00AC14A3">
              <w:rPr>
                <w:b/>
                <w:bCs/>
                <w:sz w:val="20"/>
                <w:szCs w:val="20"/>
              </w:rPr>
              <w:t xml:space="preserve"> </w:t>
            </w:r>
            <w:r w:rsidRPr="00AC14A3">
              <w:rPr>
                <w:sz w:val="20"/>
                <w:szCs w:val="20"/>
              </w:rPr>
              <w:t>(für 2 Gele)</w:t>
            </w:r>
          </w:p>
        </w:tc>
        <w:tc>
          <w:tcPr>
            <w:tcW w:w="2882" w:type="dxa"/>
          </w:tcPr>
          <w:p w14:paraId="4EFE7C72" w14:textId="77777777" w:rsidR="00C85902" w:rsidRPr="00AC14A3" w:rsidRDefault="00C85902" w:rsidP="00AC14A3">
            <w:pPr>
              <w:spacing w:line="240" w:lineRule="auto"/>
              <w:rPr>
                <w:sz w:val="20"/>
                <w:szCs w:val="20"/>
              </w:rPr>
            </w:pPr>
            <w:r w:rsidRPr="00AC14A3">
              <w:rPr>
                <w:sz w:val="20"/>
                <w:szCs w:val="20"/>
              </w:rPr>
              <w:t>-</w:t>
            </w:r>
            <w:r w:rsidRPr="00AC14A3">
              <w:rPr>
                <w:w w:val="50"/>
                <w:sz w:val="20"/>
                <w:szCs w:val="20"/>
              </w:rPr>
              <w:t xml:space="preserve"> </w:t>
            </w:r>
            <w:r w:rsidRPr="00AC14A3">
              <w:rPr>
                <w:sz w:val="20"/>
                <w:szCs w:val="20"/>
              </w:rPr>
              <w:t>4</w:t>
            </w:r>
            <w:r w:rsidRPr="00AC14A3">
              <w:rPr>
                <w:w w:val="50"/>
                <w:sz w:val="20"/>
                <w:szCs w:val="20"/>
              </w:rPr>
              <w:t> </w:t>
            </w:r>
            <w:r w:rsidRPr="00AC14A3">
              <w:rPr>
                <w:sz w:val="20"/>
                <w:szCs w:val="20"/>
              </w:rPr>
              <w:t>ml Aqua Dest.</w:t>
            </w:r>
            <w:r w:rsidRPr="00AC14A3">
              <w:rPr>
                <w:sz w:val="20"/>
                <w:szCs w:val="20"/>
              </w:rPr>
              <w:br/>
              <w:t>-3,3</w:t>
            </w:r>
            <w:r w:rsidRPr="00AC14A3">
              <w:rPr>
                <w:w w:val="50"/>
                <w:sz w:val="20"/>
                <w:szCs w:val="20"/>
              </w:rPr>
              <w:t> </w:t>
            </w:r>
            <w:r w:rsidRPr="00AC14A3">
              <w:rPr>
                <w:sz w:val="20"/>
                <w:szCs w:val="20"/>
              </w:rPr>
              <w:t>ml 30% AcrylamidMix</w:t>
            </w:r>
            <w:r w:rsidRPr="00AC14A3">
              <w:rPr>
                <w:sz w:val="20"/>
                <w:szCs w:val="20"/>
              </w:rPr>
              <w:br/>
              <w:t>- 2,5</w:t>
            </w:r>
            <w:r w:rsidRPr="00AC14A3">
              <w:rPr>
                <w:w w:val="50"/>
                <w:sz w:val="20"/>
                <w:szCs w:val="20"/>
              </w:rPr>
              <w:t> </w:t>
            </w:r>
            <w:r w:rsidRPr="00AC14A3">
              <w:rPr>
                <w:sz w:val="20"/>
                <w:szCs w:val="20"/>
              </w:rPr>
              <w:t>ml Tris pH 8,8</w:t>
            </w:r>
            <w:r w:rsidRPr="00AC14A3">
              <w:rPr>
                <w:sz w:val="20"/>
                <w:szCs w:val="20"/>
              </w:rPr>
              <w:br/>
              <w:t>- 100</w:t>
            </w:r>
            <w:r w:rsidRPr="00AC14A3">
              <w:rPr>
                <w:w w:val="50"/>
                <w:sz w:val="20"/>
                <w:szCs w:val="20"/>
              </w:rPr>
              <w:t> </w:t>
            </w:r>
            <w:r w:rsidRPr="00AC14A3">
              <w:rPr>
                <w:rFonts w:cs="Arial"/>
                <w:sz w:val="20"/>
                <w:szCs w:val="20"/>
              </w:rPr>
              <w:t>µl 10</w:t>
            </w:r>
            <w:r w:rsidRPr="00AC14A3">
              <w:rPr>
                <w:w w:val="50"/>
                <w:sz w:val="20"/>
                <w:szCs w:val="20"/>
              </w:rPr>
              <w:t> </w:t>
            </w:r>
            <w:r w:rsidRPr="00AC14A3">
              <w:rPr>
                <w:rFonts w:cs="Arial"/>
                <w:sz w:val="20"/>
                <w:szCs w:val="20"/>
              </w:rPr>
              <w:t xml:space="preserve">% SDS </w:t>
            </w:r>
            <w:r w:rsidRPr="00AC14A3">
              <w:rPr>
                <w:rFonts w:cs="Arial"/>
                <w:sz w:val="20"/>
                <w:szCs w:val="20"/>
              </w:rPr>
              <w:br/>
              <w:t>- 100</w:t>
            </w:r>
            <w:r w:rsidRPr="00AC14A3">
              <w:rPr>
                <w:w w:val="50"/>
                <w:sz w:val="20"/>
                <w:szCs w:val="20"/>
              </w:rPr>
              <w:t> </w:t>
            </w:r>
            <w:r w:rsidRPr="00AC14A3">
              <w:rPr>
                <w:rFonts w:cs="Arial"/>
                <w:sz w:val="20"/>
                <w:szCs w:val="20"/>
              </w:rPr>
              <w:t xml:space="preserve">µl </w:t>
            </w:r>
            <w:r w:rsidRPr="00994645">
              <w:rPr>
                <w:sz w:val="20"/>
                <w:szCs w:val="20"/>
              </w:rPr>
              <w:t>10% APS</w:t>
            </w:r>
            <w:r w:rsidRPr="00AC14A3">
              <w:rPr>
                <w:sz w:val="20"/>
                <w:szCs w:val="20"/>
              </w:rPr>
              <w:t xml:space="preserve"> bestehend aus:</w:t>
            </w:r>
            <w:r w:rsidRPr="00AC14A3">
              <w:rPr>
                <w:sz w:val="20"/>
                <w:szCs w:val="20"/>
              </w:rPr>
              <w:br/>
              <w:t>1g APS gelöst in 10</w:t>
            </w:r>
            <w:r w:rsidRPr="00AC14A3">
              <w:rPr>
                <w:w w:val="50"/>
                <w:sz w:val="20"/>
                <w:szCs w:val="20"/>
              </w:rPr>
              <w:t> </w:t>
            </w:r>
            <w:r w:rsidRPr="00AC14A3">
              <w:rPr>
                <w:sz w:val="20"/>
                <w:szCs w:val="20"/>
              </w:rPr>
              <w:t>ml Aqua Dest.</w:t>
            </w:r>
            <w:r w:rsidRPr="00AC14A3">
              <w:rPr>
                <w:sz w:val="20"/>
                <w:szCs w:val="20"/>
              </w:rPr>
              <w:br/>
              <w:t>- 8</w:t>
            </w:r>
            <w:r w:rsidRPr="00AC14A3">
              <w:rPr>
                <w:w w:val="50"/>
                <w:sz w:val="20"/>
                <w:szCs w:val="20"/>
              </w:rPr>
              <w:t> </w:t>
            </w:r>
            <w:r w:rsidRPr="00AC14A3">
              <w:rPr>
                <w:rFonts w:cs="Arial"/>
                <w:sz w:val="20"/>
                <w:szCs w:val="20"/>
              </w:rPr>
              <w:t xml:space="preserve">µl TEMED </w:t>
            </w:r>
          </w:p>
        </w:tc>
        <w:tc>
          <w:tcPr>
            <w:tcW w:w="4237" w:type="dxa"/>
          </w:tcPr>
          <w:p w14:paraId="13F8F1AA" w14:textId="77777777" w:rsidR="00C85902" w:rsidRPr="00AC14A3" w:rsidRDefault="00C85902" w:rsidP="00994645">
            <w:pPr>
              <w:spacing w:line="240" w:lineRule="auto"/>
              <w:jc w:val="center"/>
              <w:rPr>
                <w:sz w:val="20"/>
                <w:szCs w:val="20"/>
              </w:rPr>
            </w:pPr>
          </w:p>
          <w:p w14:paraId="505BCED7" w14:textId="77777777" w:rsidR="00C85902" w:rsidRPr="004F2A0F" w:rsidRDefault="00C85902" w:rsidP="00994645">
            <w:pPr>
              <w:spacing w:line="240" w:lineRule="auto"/>
              <w:jc w:val="center"/>
              <w:rPr>
                <w:sz w:val="20"/>
                <w:szCs w:val="20"/>
                <w:lang w:val="en-GB"/>
              </w:rPr>
            </w:pPr>
            <w:r w:rsidRPr="004F2A0F">
              <w:rPr>
                <w:sz w:val="20"/>
                <w:szCs w:val="20"/>
                <w:lang w:val="en-GB"/>
              </w:rPr>
              <w:t>BioRad REF 161-0156</w:t>
            </w:r>
          </w:p>
          <w:p w14:paraId="6D1ADDE7" w14:textId="77777777" w:rsidR="00C85902" w:rsidRPr="00AC14A3" w:rsidRDefault="00C85902" w:rsidP="00994645">
            <w:pPr>
              <w:spacing w:line="240" w:lineRule="auto"/>
              <w:jc w:val="center"/>
              <w:rPr>
                <w:sz w:val="20"/>
                <w:szCs w:val="20"/>
                <w:lang w:val="en-GB"/>
              </w:rPr>
            </w:pPr>
            <w:r w:rsidRPr="006A40E8">
              <w:rPr>
                <w:sz w:val="20"/>
                <w:szCs w:val="20"/>
                <w:lang w:val="en-GB"/>
              </w:rPr>
              <w:br/>
            </w:r>
            <w:r w:rsidRPr="00AC14A3">
              <w:rPr>
                <w:sz w:val="20"/>
                <w:szCs w:val="20"/>
                <w:lang w:val="en-GB"/>
              </w:rPr>
              <w:t>BioRad REF 161-0734</w:t>
            </w:r>
            <w:r w:rsidRPr="00AC14A3">
              <w:rPr>
                <w:sz w:val="20"/>
                <w:szCs w:val="20"/>
                <w:lang w:val="en-GB"/>
              </w:rPr>
              <w:br/>
            </w:r>
            <w:r>
              <w:rPr>
                <w:sz w:val="20"/>
                <w:szCs w:val="20"/>
                <w:lang w:val="en-GB"/>
              </w:rPr>
              <w:br/>
            </w:r>
            <w:r w:rsidRPr="00AC14A3">
              <w:rPr>
                <w:sz w:val="20"/>
                <w:szCs w:val="20"/>
                <w:lang w:val="en-GB"/>
              </w:rPr>
              <w:t>BioRad REF 1610416</w:t>
            </w:r>
            <w:r w:rsidRPr="00AC14A3">
              <w:rPr>
                <w:sz w:val="20"/>
                <w:szCs w:val="20"/>
                <w:lang w:val="en-GB"/>
              </w:rPr>
              <w:br/>
            </w:r>
            <w:r w:rsidRPr="00AC14A3">
              <w:rPr>
                <w:sz w:val="20"/>
                <w:szCs w:val="20"/>
                <w:lang w:val="en-GB"/>
              </w:rPr>
              <w:br/>
              <w:t>Sigma-Aldrich</w:t>
            </w:r>
            <w:r w:rsidRPr="00AC14A3">
              <w:rPr>
                <w:sz w:val="20"/>
                <w:szCs w:val="20"/>
                <w:lang w:val="en-GB"/>
              </w:rPr>
              <w:br/>
            </w:r>
          </w:p>
          <w:p w14:paraId="3ABFD1EB" w14:textId="77777777" w:rsidR="00C85902" w:rsidRPr="00AC14A3" w:rsidRDefault="00C85902" w:rsidP="00994645">
            <w:pPr>
              <w:spacing w:line="240" w:lineRule="auto"/>
              <w:jc w:val="center"/>
              <w:rPr>
                <w:sz w:val="20"/>
                <w:szCs w:val="20"/>
                <w:lang w:val="en-GB"/>
              </w:rPr>
            </w:pPr>
            <w:r w:rsidRPr="00AC14A3">
              <w:rPr>
                <w:sz w:val="20"/>
                <w:szCs w:val="20"/>
                <w:lang w:val="en-GB"/>
              </w:rPr>
              <w:t>Roth REF 2367</w:t>
            </w:r>
          </w:p>
        </w:tc>
      </w:tr>
      <w:tr w:rsidR="00C85902" w:rsidRPr="00600BBD" w14:paraId="78528DF6" w14:textId="77777777" w:rsidTr="005C692B">
        <w:tc>
          <w:tcPr>
            <w:tcW w:w="1511" w:type="dxa"/>
          </w:tcPr>
          <w:p w14:paraId="476CD828" w14:textId="77777777" w:rsidR="00C85902" w:rsidRPr="00AC14A3" w:rsidRDefault="00C85902" w:rsidP="00AC14A3">
            <w:pPr>
              <w:spacing w:line="240" w:lineRule="auto"/>
              <w:rPr>
                <w:sz w:val="20"/>
                <w:szCs w:val="20"/>
              </w:rPr>
            </w:pPr>
            <w:r w:rsidRPr="00AC14A3">
              <w:rPr>
                <w:sz w:val="20"/>
                <w:szCs w:val="20"/>
              </w:rPr>
              <w:t>5</w:t>
            </w:r>
            <w:r w:rsidRPr="00AC14A3">
              <w:rPr>
                <w:w w:val="50"/>
                <w:sz w:val="20"/>
                <w:szCs w:val="20"/>
              </w:rPr>
              <w:t> </w:t>
            </w:r>
            <w:r w:rsidRPr="00AC14A3">
              <w:rPr>
                <w:sz w:val="20"/>
                <w:szCs w:val="20"/>
              </w:rPr>
              <w:t>% Sammelgel</w:t>
            </w:r>
            <w:r w:rsidRPr="00AC14A3">
              <w:rPr>
                <w:b/>
                <w:bCs/>
                <w:sz w:val="20"/>
                <w:szCs w:val="20"/>
              </w:rPr>
              <w:t xml:space="preserve"> </w:t>
            </w:r>
            <w:r w:rsidRPr="00AC14A3">
              <w:rPr>
                <w:sz w:val="20"/>
                <w:szCs w:val="20"/>
              </w:rPr>
              <w:t>(für 2 Gele)</w:t>
            </w:r>
          </w:p>
        </w:tc>
        <w:tc>
          <w:tcPr>
            <w:tcW w:w="2882" w:type="dxa"/>
          </w:tcPr>
          <w:p w14:paraId="35AD4DF9" w14:textId="77777777" w:rsidR="00C85902" w:rsidRPr="00AC14A3" w:rsidRDefault="00C85902" w:rsidP="00AC14A3">
            <w:pPr>
              <w:spacing w:line="240" w:lineRule="auto"/>
              <w:rPr>
                <w:sz w:val="20"/>
                <w:szCs w:val="20"/>
                <w:lang w:val="en-GB"/>
              </w:rPr>
            </w:pPr>
            <w:r w:rsidRPr="00AC14A3">
              <w:rPr>
                <w:sz w:val="20"/>
                <w:szCs w:val="20"/>
                <w:lang w:val="en-GB"/>
              </w:rPr>
              <w:t>- 1,4</w:t>
            </w:r>
            <w:r w:rsidRPr="00AC14A3">
              <w:rPr>
                <w:w w:val="50"/>
                <w:sz w:val="20"/>
                <w:szCs w:val="20"/>
                <w:lang w:val="en-GB"/>
              </w:rPr>
              <w:t> </w:t>
            </w:r>
            <w:r w:rsidRPr="00AC14A3">
              <w:rPr>
                <w:sz w:val="20"/>
                <w:szCs w:val="20"/>
                <w:lang w:val="en-GB"/>
              </w:rPr>
              <w:t>ml Aqua Dest.</w:t>
            </w:r>
            <w:r w:rsidRPr="00AC14A3">
              <w:rPr>
                <w:sz w:val="20"/>
                <w:szCs w:val="20"/>
                <w:lang w:val="en-GB"/>
              </w:rPr>
              <w:br/>
              <w:t>- 330</w:t>
            </w:r>
            <w:r w:rsidRPr="00AC14A3">
              <w:rPr>
                <w:w w:val="50"/>
                <w:sz w:val="20"/>
                <w:szCs w:val="20"/>
                <w:lang w:val="en-GB"/>
              </w:rPr>
              <w:t> </w:t>
            </w:r>
            <w:r w:rsidRPr="00AC14A3">
              <w:rPr>
                <w:rFonts w:cs="Arial"/>
                <w:sz w:val="20"/>
                <w:szCs w:val="20"/>
                <w:lang w:val="en-GB"/>
              </w:rPr>
              <w:t>µl 30% AcrylamidMix</w:t>
            </w:r>
            <w:r w:rsidRPr="00AC14A3">
              <w:rPr>
                <w:rFonts w:cs="Arial"/>
                <w:sz w:val="20"/>
                <w:szCs w:val="20"/>
                <w:lang w:val="en-GB"/>
              </w:rPr>
              <w:br/>
              <w:t>- 250</w:t>
            </w:r>
            <w:r w:rsidRPr="00AC14A3">
              <w:rPr>
                <w:w w:val="50"/>
                <w:sz w:val="20"/>
                <w:szCs w:val="20"/>
                <w:lang w:val="en-GB"/>
              </w:rPr>
              <w:t> </w:t>
            </w:r>
            <w:r w:rsidRPr="00AC14A3">
              <w:rPr>
                <w:rFonts w:cs="Arial"/>
                <w:sz w:val="20"/>
                <w:szCs w:val="20"/>
                <w:lang w:val="en-GB"/>
              </w:rPr>
              <w:t>µl 0,1</w:t>
            </w:r>
            <w:r w:rsidRPr="00AC14A3">
              <w:rPr>
                <w:w w:val="50"/>
                <w:sz w:val="20"/>
                <w:szCs w:val="20"/>
                <w:lang w:val="en-GB"/>
              </w:rPr>
              <w:t> </w:t>
            </w:r>
            <w:r w:rsidRPr="00AC14A3">
              <w:rPr>
                <w:rFonts w:cs="Arial"/>
                <w:sz w:val="20"/>
                <w:szCs w:val="20"/>
                <w:lang w:val="en-GB"/>
              </w:rPr>
              <w:t>M Tris pH 6,8</w:t>
            </w:r>
            <w:r w:rsidRPr="00AC14A3">
              <w:rPr>
                <w:rFonts w:cs="Arial"/>
                <w:sz w:val="20"/>
                <w:szCs w:val="20"/>
                <w:lang w:val="en-GB"/>
              </w:rPr>
              <w:br/>
              <w:t>- 20</w:t>
            </w:r>
            <w:r w:rsidRPr="00AC14A3">
              <w:rPr>
                <w:w w:val="50"/>
                <w:sz w:val="20"/>
                <w:szCs w:val="20"/>
                <w:lang w:val="en-GB"/>
              </w:rPr>
              <w:t> </w:t>
            </w:r>
            <w:r w:rsidRPr="00AC14A3">
              <w:rPr>
                <w:rFonts w:cs="Arial"/>
                <w:sz w:val="20"/>
                <w:szCs w:val="20"/>
                <w:lang w:val="en-GB"/>
              </w:rPr>
              <w:t>µl 10</w:t>
            </w:r>
            <w:r w:rsidRPr="00AC14A3">
              <w:rPr>
                <w:w w:val="50"/>
                <w:sz w:val="20"/>
                <w:szCs w:val="20"/>
                <w:lang w:val="en-GB"/>
              </w:rPr>
              <w:t> </w:t>
            </w:r>
            <w:r w:rsidRPr="00AC14A3">
              <w:rPr>
                <w:rFonts w:cs="Arial"/>
                <w:sz w:val="20"/>
                <w:szCs w:val="20"/>
                <w:lang w:val="en-GB"/>
              </w:rPr>
              <w:t xml:space="preserve">% SDS </w:t>
            </w:r>
            <w:r w:rsidRPr="00AC14A3">
              <w:rPr>
                <w:rFonts w:cs="Arial"/>
                <w:sz w:val="20"/>
                <w:szCs w:val="20"/>
                <w:lang w:val="en-GB"/>
              </w:rPr>
              <w:br/>
              <w:t>- 20</w:t>
            </w:r>
            <w:r w:rsidRPr="00AC14A3">
              <w:rPr>
                <w:w w:val="50"/>
                <w:sz w:val="20"/>
                <w:szCs w:val="20"/>
                <w:lang w:val="en-GB"/>
              </w:rPr>
              <w:t> </w:t>
            </w:r>
            <w:r w:rsidRPr="00AC14A3">
              <w:rPr>
                <w:rFonts w:cs="Arial"/>
                <w:sz w:val="20"/>
                <w:szCs w:val="20"/>
                <w:lang w:val="en-GB"/>
              </w:rPr>
              <w:t>µl 10</w:t>
            </w:r>
            <w:r w:rsidRPr="00AC14A3">
              <w:rPr>
                <w:w w:val="50"/>
                <w:sz w:val="20"/>
                <w:szCs w:val="20"/>
                <w:lang w:val="en-GB"/>
              </w:rPr>
              <w:t> </w:t>
            </w:r>
            <w:r w:rsidRPr="00AC14A3">
              <w:rPr>
                <w:rFonts w:cs="Arial"/>
                <w:sz w:val="20"/>
                <w:szCs w:val="20"/>
                <w:lang w:val="en-GB"/>
              </w:rPr>
              <w:t xml:space="preserve">% APS </w:t>
            </w:r>
            <w:r w:rsidRPr="00AC14A3">
              <w:rPr>
                <w:rFonts w:cs="Arial"/>
                <w:sz w:val="20"/>
                <w:szCs w:val="20"/>
                <w:lang w:val="en-GB"/>
              </w:rPr>
              <w:br/>
              <w:t>- 2</w:t>
            </w:r>
            <w:r w:rsidRPr="00AC14A3">
              <w:rPr>
                <w:w w:val="50"/>
                <w:sz w:val="20"/>
                <w:szCs w:val="20"/>
                <w:lang w:val="en-GB"/>
              </w:rPr>
              <w:t> </w:t>
            </w:r>
            <w:r w:rsidRPr="00AC14A3">
              <w:rPr>
                <w:rFonts w:cs="Arial"/>
                <w:sz w:val="20"/>
                <w:szCs w:val="20"/>
                <w:lang w:val="en-GB"/>
              </w:rPr>
              <w:t>µl TEMED</w:t>
            </w:r>
          </w:p>
        </w:tc>
        <w:tc>
          <w:tcPr>
            <w:tcW w:w="4237" w:type="dxa"/>
          </w:tcPr>
          <w:p w14:paraId="54952252" w14:textId="77777777" w:rsidR="00C85902" w:rsidRPr="00AC14A3" w:rsidRDefault="00C85902" w:rsidP="00994645">
            <w:pPr>
              <w:spacing w:line="240" w:lineRule="auto"/>
              <w:jc w:val="center"/>
              <w:rPr>
                <w:sz w:val="20"/>
                <w:szCs w:val="20"/>
                <w:lang w:val="en-GB"/>
              </w:rPr>
            </w:pPr>
            <w:r w:rsidRPr="00AC14A3">
              <w:rPr>
                <w:sz w:val="20"/>
                <w:szCs w:val="20"/>
                <w:lang w:val="en-GB"/>
              </w:rPr>
              <w:br/>
              <w:t>BioRad REF 161-0156</w:t>
            </w:r>
            <w:r w:rsidRPr="00AC14A3">
              <w:rPr>
                <w:sz w:val="20"/>
                <w:szCs w:val="20"/>
                <w:lang w:val="en-GB"/>
              </w:rPr>
              <w:br/>
            </w:r>
            <w:r w:rsidRPr="00AC14A3">
              <w:rPr>
                <w:sz w:val="20"/>
                <w:szCs w:val="20"/>
                <w:lang w:val="en-GB"/>
              </w:rPr>
              <w:br/>
              <w:t>BioRad REF 161-0734</w:t>
            </w:r>
            <w:r w:rsidRPr="00AC14A3">
              <w:rPr>
                <w:sz w:val="20"/>
                <w:szCs w:val="20"/>
                <w:lang w:val="en-GB"/>
              </w:rPr>
              <w:br/>
            </w:r>
            <w:r w:rsidRPr="00AC14A3">
              <w:rPr>
                <w:sz w:val="20"/>
                <w:szCs w:val="20"/>
                <w:lang w:val="en-GB"/>
              </w:rPr>
              <w:br/>
              <w:t>BioRad REF 1610416</w:t>
            </w:r>
            <w:r w:rsidRPr="00AC14A3">
              <w:rPr>
                <w:sz w:val="20"/>
                <w:szCs w:val="20"/>
                <w:lang w:val="en-GB"/>
              </w:rPr>
              <w:br/>
              <w:t>BioRad REF 1610416</w:t>
            </w:r>
            <w:r w:rsidRPr="00AC14A3">
              <w:rPr>
                <w:sz w:val="20"/>
                <w:szCs w:val="20"/>
                <w:lang w:val="en-GB"/>
              </w:rPr>
              <w:br/>
              <w:t>Roth REF 2367</w:t>
            </w:r>
          </w:p>
        </w:tc>
      </w:tr>
      <w:tr w:rsidR="00C85902" w14:paraId="2ED1926C" w14:textId="77777777" w:rsidTr="005C692B">
        <w:tc>
          <w:tcPr>
            <w:tcW w:w="1511" w:type="dxa"/>
          </w:tcPr>
          <w:p w14:paraId="121CFEF8" w14:textId="77777777" w:rsidR="00C85902" w:rsidRPr="00AC14A3" w:rsidRDefault="00C85902" w:rsidP="00AC14A3">
            <w:pPr>
              <w:spacing w:line="240" w:lineRule="auto"/>
              <w:rPr>
                <w:sz w:val="20"/>
                <w:szCs w:val="20"/>
              </w:rPr>
            </w:pPr>
            <w:r w:rsidRPr="00AC14A3">
              <w:rPr>
                <w:sz w:val="20"/>
                <w:szCs w:val="20"/>
              </w:rPr>
              <w:t>1</w:t>
            </w:r>
            <w:r w:rsidRPr="00AC14A3">
              <w:rPr>
                <w:w w:val="50"/>
                <w:sz w:val="20"/>
                <w:szCs w:val="20"/>
              </w:rPr>
              <w:t> </w:t>
            </w:r>
            <w:r w:rsidRPr="00AC14A3">
              <w:rPr>
                <w:sz w:val="20"/>
                <w:szCs w:val="20"/>
              </w:rPr>
              <w:t>Liter gekühlter Gelpuffer</w:t>
            </w:r>
          </w:p>
        </w:tc>
        <w:tc>
          <w:tcPr>
            <w:tcW w:w="2882" w:type="dxa"/>
          </w:tcPr>
          <w:p w14:paraId="7D6E3972" w14:textId="77777777" w:rsidR="00C85902" w:rsidRPr="00AC14A3" w:rsidRDefault="00C85902" w:rsidP="00AC14A3">
            <w:pPr>
              <w:spacing w:line="240" w:lineRule="auto"/>
              <w:rPr>
                <w:sz w:val="20"/>
                <w:szCs w:val="20"/>
              </w:rPr>
            </w:pPr>
            <w:r w:rsidRPr="00AC14A3">
              <w:rPr>
                <w:sz w:val="20"/>
                <w:szCs w:val="20"/>
              </w:rPr>
              <w:t>- 100</w:t>
            </w:r>
            <w:r w:rsidRPr="00AC14A3">
              <w:rPr>
                <w:w w:val="50"/>
                <w:sz w:val="20"/>
                <w:szCs w:val="20"/>
              </w:rPr>
              <w:t> </w:t>
            </w:r>
            <w:r w:rsidRPr="00AC14A3">
              <w:rPr>
                <w:sz w:val="20"/>
                <w:szCs w:val="20"/>
              </w:rPr>
              <w:t xml:space="preserve">ml </w:t>
            </w:r>
            <w:r w:rsidRPr="00994645">
              <w:rPr>
                <w:sz w:val="20"/>
                <w:szCs w:val="20"/>
              </w:rPr>
              <w:t>Tris Glycin</w:t>
            </w:r>
            <w:r w:rsidRPr="00AC14A3">
              <w:rPr>
                <w:sz w:val="20"/>
                <w:szCs w:val="20"/>
              </w:rPr>
              <w:t xml:space="preserve"> 10-fach </w:t>
            </w:r>
            <w:r>
              <w:rPr>
                <w:sz w:val="20"/>
                <w:szCs w:val="20"/>
              </w:rPr>
              <w:br/>
              <w:t xml:space="preserve">   </w:t>
            </w:r>
            <w:r w:rsidRPr="00AC14A3">
              <w:rPr>
                <w:sz w:val="20"/>
                <w:szCs w:val="20"/>
              </w:rPr>
              <w:t>Buffer</w:t>
            </w:r>
            <w:r w:rsidRPr="00AC14A3">
              <w:rPr>
                <w:sz w:val="20"/>
                <w:szCs w:val="20"/>
              </w:rPr>
              <w:br/>
              <w:t>- 10</w:t>
            </w:r>
            <w:r w:rsidRPr="00AC14A3">
              <w:rPr>
                <w:w w:val="50"/>
                <w:sz w:val="20"/>
                <w:szCs w:val="20"/>
              </w:rPr>
              <w:t> </w:t>
            </w:r>
            <w:r w:rsidRPr="00AC14A3">
              <w:rPr>
                <w:sz w:val="20"/>
                <w:szCs w:val="20"/>
              </w:rPr>
              <w:t xml:space="preserve">ml 10% SDS </w:t>
            </w:r>
            <w:r w:rsidRPr="00AC14A3">
              <w:rPr>
                <w:sz w:val="20"/>
                <w:szCs w:val="20"/>
              </w:rPr>
              <w:br/>
              <w:t>- 890</w:t>
            </w:r>
            <w:r w:rsidRPr="00AC14A3">
              <w:rPr>
                <w:w w:val="50"/>
                <w:sz w:val="20"/>
                <w:szCs w:val="20"/>
              </w:rPr>
              <w:t> </w:t>
            </w:r>
            <w:r w:rsidRPr="00AC14A3">
              <w:rPr>
                <w:sz w:val="20"/>
                <w:szCs w:val="20"/>
              </w:rPr>
              <w:t>ml Aqua Dest.</w:t>
            </w:r>
          </w:p>
        </w:tc>
        <w:tc>
          <w:tcPr>
            <w:tcW w:w="4237" w:type="dxa"/>
          </w:tcPr>
          <w:p w14:paraId="089EC3F4" w14:textId="77777777" w:rsidR="00C85902" w:rsidRPr="00AC14A3" w:rsidRDefault="00C85902" w:rsidP="00994645">
            <w:pPr>
              <w:spacing w:line="240" w:lineRule="auto"/>
              <w:jc w:val="center"/>
              <w:rPr>
                <w:sz w:val="20"/>
                <w:szCs w:val="20"/>
              </w:rPr>
            </w:pPr>
            <w:r>
              <w:rPr>
                <w:sz w:val="20"/>
                <w:szCs w:val="20"/>
              </w:rPr>
              <w:t>BioRad REF 161-0734</w:t>
            </w:r>
          </w:p>
          <w:p w14:paraId="4DD00CBB" w14:textId="77777777" w:rsidR="00C85902" w:rsidRDefault="00C85902" w:rsidP="00994645">
            <w:pPr>
              <w:spacing w:line="240" w:lineRule="auto"/>
              <w:jc w:val="center"/>
              <w:rPr>
                <w:sz w:val="20"/>
                <w:szCs w:val="20"/>
                <w:lang w:val="en-GB"/>
              </w:rPr>
            </w:pPr>
          </w:p>
          <w:p w14:paraId="41853867" w14:textId="77777777" w:rsidR="00C85902" w:rsidRPr="00AC14A3" w:rsidRDefault="00C85902" w:rsidP="00994645">
            <w:pPr>
              <w:spacing w:line="240" w:lineRule="auto"/>
              <w:jc w:val="center"/>
              <w:rPr>
                <w:sz w:val="20"/>
                <w:szCs w:val="20"/>
              </w:rPr>
            </w:pPr>
            <w:r w:rsidRPr="00AC14A3">
              <w:rPr>
                <w:sz w:val="20"/>
                <w:szCs w:val="20"/>
                <w:lang w:val="en-GB"/>
              </w:rPr>
              <w:t>BioRad REF 161</w:t>
            </w:r>
            <w:r>
              <w:rPr>
                <w:sz w:val="20"/>
                <w:szCs w:val="20"/>
                <w:lang w:val="en-GB"/>
              </w:rPr>
              <w:t>-</w:t>
            </w:r>
            <w:r w:rsidRPr="00AC14A3">
              <w:rPr>
                <w:sz w:val="20"/>
                <w:szCs w:val="20"/>
                <w:lang w:val="en-GB"/>
              </w:rPr>
              <w:t>0416</w:t>
            </w:r>
          </w:p>
        </w:tc>
      </w:tr>
      <w:tr w:rsidR="00C85902" w14:paraId="0A33F086" w14:textId="77777777" w:rsidTr="005C692B">
        <w:tc>
          <w:tcPr>
            <w:tcW w:w="1511" w:type="dxa"/>
          </w:tcPr>
          <w:p w14:paraId="38EB0C41" w14:textId="77777777" w:rsidR="00C85902" w:rsidRPr="00AC14A3" w:rsidRDefault="00C85902" w:rsidP="00AC14A3">
            <w:pPr>
              <w:spacing w:line="240" w:lineRule="auto"/>
              <w:rPr>
                <w:sz w:val="20"/>
                <w:szCs w:val="20"/>
              </w:rPr>
            </w:pPr>
            <w:r w:rsidRPr="00AC14A3">
              <w:rPr>
                <w:sz w:val="20"/>
                <w:szCs w:val="20"/>
              </w:rPr>
              <w:t>4x je 5</w:t>
            </w:r>
            <w:r w:rsidRPr="00AC14A3">
              <w:rPr>
                <w:w w:val="50"/>
                <w:sz w:val="20"/>
                <w:szCs w:val="20"/>
              </w:rPr>
              <w:t> </w:t>
            </w:r>
            <w:r w:rsidRPr="00AC14A3">
              <w:rPr>
                <w:rFonts w:cs="Arial"/>
                <w:sz w:val="20"/>
                <w:szCs w:val="20"/>
              </w:rPr>
              <w:t>µl</w:t>
            </w:r>
          </w:p>
        </w:tc>
        <w:tc>
          <w:tcPr>
            <w:tcW w:w="2882" w:type="dxa"/>
          </w:tcPr>
          <w:p w14:paraId="2C41FD58" w14:textId="77777777" w:rsidR="00C85902" w:rsidRPr="00AC14A3" w:rsidRDefault="00C85902" w:rsidP="00AC14A3">
            <w:pPr>
              <w:spacing w:line="240" w:lineRule="auto"/>
              <w:rPr>
                <w:sz w:val="20"/>
                <w:szCs w:val="20"/>
              </w:rPr>
            </w:pPr>
            <w:r w:rsidRPr="00AC14A3">
              <w:rPr>
                <w:sz w:val="20"/>
                <w:szCs w:val="20"/>
              </w:rPr>
              <w:t xml:space="preserve">Magic Mark </w:t>
            </w:r>
          </w:p>
        </w:tc>
        <w:tc>
          <w:tcPr>
            <w:tcW w:w="4237" w:type="dxa"/>
          </w:tcPr>
          <w:p w14:paraId="7AA0E9BD" w14:textId="77777777" w:rsidR="00C85902" w:rsidRPr="00AC14A3" w:rsidRDefault="00C85902" w:rsidP="00994645">
            <w:pPr>
              <w:keepNext/>
              <w:spacing w:line="240" w:lineRule="auto"/>
              <w:jc w:val="center"/>
              <w:rPr>
                <w:sz w:val="20"/>
                <w:szCs w:val="20"/>
              </w:rPr>
            </w:pPr>
            <w:r w:rsidRPr="00AC14A3">
              <w:rPr>
                <w:sz w:val="20"/>
                <w:szCs w:val="20"/>
              </w:rPr>
              <w:t>Invitrogen REF LC5602</w:t>
            </w:r>
          </w:p>
        </w:tc>
      </w:tr>
    </w:tbl>
    <w:p w14:paraId="059EF7B6" w14:textId="77777777" w:rsidR="00C85902" w:rsidRDefault="00C85902" w:rsidP="00F25FC8">
      <w:pPr>
        <w:pStyle w:val="Beschriftung"/>
      </w:pPr>
    </w:p>
    <w:p w14:paraId="3E91A8FB" w14:textId="55716BE9" w:rsidR="00C85902" w:rsidRDefault="00C85902" w:rsidP="00C2313B">
      <w:r>
        <w:t>Pro Gel wurden jeweils zwei zuvor mit Alkohol gereinigte, unterschiedlich große Glasplatten mit Distanzleisten versehen und in die vorgesehenen Halterungen eingespannt und auf den kleineren Platten ein Abstand von 2</w:t>
      </w:r>
      <w:r w:rsidRPr="00F553AE">
        <w:rPr>
          <w:w w:val="50"/>
        </w:rPr>
        <w:t> </w:t>
      </w:r>
      <w:r>
        <w:t>cm zum Oberrand markiert. Es folgte eine Überprüfung der Dichtigkeit mittels einer Aqua Dest. Probe. Da die Lysat-Proben beim Western Blot im Sammelgel starten und nach unten durch das Trenngel laufen sollen, wurde zunächst das Trenngel für zwei Gele hergestellt und durch Schwenken gut gemischt (</w:t>
      </w:r>
      <w:r>
        <w:fldChar w:fldCharType="begin"/>
      </w:r>
      <w:r>
        <w:instrText xml:space="preserve"> REF _Ref120297745 \h </w:instrText>
      </w:r>
      <w:r>
        <w:fldChar w:fldCharType="separate"/>
      </w:r>
      <w:r w:rsidR="00791554">
        <w:t xml:space="preserve">Tabelle </w:t>
      </w:r>
      <w:r w:rsidR="00791554">
        <w:rPr>
          <w:noProof/>
        </w:rPr>
        <w:t>16</w:t>
      </w:r>
      <w:r>
        <w:fldChar w:fldCharType="end"/>
      </w:r>
      <w:r>
        <w:t>). Dann wurde das Aqua Dest. zwischen den Platten entfernt und mit einer Pipette das Trenngel jeweils zwischen die Platten gegeben bis ca. 7</w:t>
      </w:r>
      <w:r w:rsidRPr="00F553AE">
        <w:rPr>
          <w:w w:val="50"/>
        </w:rPr>
        <w:t> </w:t>
      </w:r>
      <w:r>
        <w:t>mm oberhalb der angebrachten Markierung. Dann wurde mit einer frischen Pipette der Spalt zwischen den Platten tröpfchenweise jeweils bis zum Oberrand mit Aqua Dest. aufgefüllt und das Gel über einen Zeitraum von 20</w:t>
      </w:r>
      <w:r w:rsidRPr="00F553AE">
        <w:rPr>
          <w:w w:val="50"/>
        </w:rPr>
        <w:t> </w:t>
      </w:r>
      <w:r>
        <w:t xml:space="preserve">Minuten polymerisiert. Nach dieser Zeit wurde das Aqua Dest wieder durch Abkippen entfernt und das Sammelgel in der in </w:t>
      </w:r>
      <w:r>
        <w:fldChar w:fldCharType="begin"/>
      </w:r>
      <w:r>
        <w:instrText xml:space="preserve"> REF _Ref120297745 \h </w:instrText>
      </w:r>
      <w:r>
        <w:fldChar w:fldCharType="separate"/>
      </w:r>
      <w:r w:rsidR="00791554">
        <w:t xml:space="preserve">Tabelle </w:t>
      </w:r>
      <w:r w:rsidR="00791554">
        <w:rPr>
          <w:noProof/>
        </w:rPr>
        <w:t>16</w:t>
      </w:r>
      <w:r>
        <w:fldChar w:fldCharType="end"/>
      </w:r>
      <w:r>
        <w:t xml:space="preserve"> beschriebenen Zusammensetzung in einem frischen Becherglas hergestellt und durchmischt. Mit einer Pipette wurde nun jeweils 1</w:t>
      </w:r>
      <w:r w:rsidRPr="008C4356">
        <w:rPr>
          <w:w w:val="50"/>
        </w:rPr>
        <w:t> </w:t>
      </w:r>
      <w:r>
        <w:t>ml des Sammelgels oberhalb des Trenngels zwischen die Glasplatten gegeben und abschließend der 10-Kammer-Kamm langsam in das Gel gesteckt, um eine Luftblasenbildung zu verhindern. Auch dieses Gel wurde für die Dauer von 20</w:t>
      </w:r>
      <w:r w:rsidRPr="00F553AE">
        <w:rPr>
          <w:w w:val="50"/>
        </w:rPr>
        <w:t> </w:t>
      </w:r>
      <w:r>
        <w:t xml:space="preserve">Minuten polymerisiert. </w:t>
      </w:r>
    </w:p>
    <w:p w14:paraId="750C70EF" w14:textId="77777777" w:rsidR="00C85902" w:rsidRDefault="00C85902" w:rsidP="00697794">
      <w:r w:rsidRPr="00A24BC5">
        <w:rPr>
          <w:b/>
          <w:bCs/>
          <w:u w:val="single"/>
        </w:rPr>
        <w:t>Proteintrennung</w:t>
      </w:r>
      <w:r>
        <w:t>:</w:t>
      </w:r>
    </w:p>
    <w:p w14:paraId="79557329" w14:textId="77777777" w:rsidR="00C85902" w:rsidRDefault="00C85902" w:rsidP="00697794">
      <w:r>
        <w:t>Nach dem Aushärten der Gele wurden die Kämme entfernt und die Gele wurden in die Halterung der Elektrophoresekammer gespannt. Danach wurde die Kammer inklusive der Gele auf Naßeis gekühlt und bis zur Markierung komplett mit Gelpuffer befüllt. Mit einer Pipette wurden die Taschen der Gele mittels Gelpuffer mehrfach vorsichtig gespült. Nun wurden die Taschen sorgfältig, aber zügig mit einer Eppendorf Pipette befüllt. Begonnen wurde mit jeweils 5</w:t>
      </w:r>
      <w:r w:rsidRPr="00F553AE">
        <w:rPr>
          <w:w w:val="50"/>
        </w:rPr>
        <w:t> </w:t>
      </w:r>
      <w:r>
        <w:rPr>
          <w:rFonts w:cs="Arial"/>
        </w:rPr>
        <w:t>µl Magic Mark in der ersten und sechsten Tasche beider Gele. In die leeren Taschen wurden jeweils 18</w:t>
      </w:r>
      <w:r w:rsidRPr="00F553AE">
        <w:rPr>
          <w:w w:val="50"/>
        </w:rPr>
        <w:t> </w:t>
      </w:r>
      <w:r>
        <w:rPr>
          <w:rFonts w:cs="Arial"/>
        </w:rPr>
        <w:t>µl der Probe pipettiert. Anschließend wurde die Kammer mit dem Deckel verschlossen und an die Stromquelle angeschlossen. Protein im Gel wurden elektrophoretisch für die Dauer von mindestens 90</w:t>
      </w:r>
      <w:r w:rsidRPr="00F553AE">
        <w:rPr>
          <w:w w:val="50"/>
        </w:rPr>
        <w:t> </w:t>
      </w:r>
      <w:r>
        <w:rPr>
          <w:rFonts w:cs="Arial"/>
        </w:rPr>
        <w:t>Minuten bei 100</w:t>
      </w:r>
      <w:r w:rsidRPr="00F553AE">
        <w:rPr>
          <w:w w:val="50"/>
        </w:rPr>
        <w:t> </w:t>
      </w:r>
      <w:r>
        <w:rPr>
          <w:rFonts w:cs="Arial"/>
        </w:rPr>
        <w:t>Volt getrennt. Es wurde regelmäßig kontrolliert, ob genügend Puffer in der Kammer vorhanden ist.</w:t>
      </w:r>
    </w:p>
    <w:p w14:paraId="5E2FF34A" w14:textId="77777777" w:rsidR="00C85902" w:rsidRDefault="00C85902" w:rsidP="00697794">
      <w:pPr>
        <w:pStyle w:val="berschrift3"/>
      </w:pPr>
      <w:bookmarkStart w:id="112" w:name="_Ref68542561"/>
      <w:bookmarkStart w:id="113" w:name="_Toc121158665"/>
      <w:r>
        <w:t>Transfer, Erst- und Zweitantikörper Markierung mit CD276 sowie LI-COR Messung</w:t>
      </w:r>
      <w:bookmarkEnd w:id="112"/>
      <w:bookmarkEnd w:id="113"/>
    </w:p>
    <w:p w14:paraId="70954069" w14:textId="77777777" w:rsidR="00C85902" w:rsidRDefault="00C85902" w:rsidP="00024E74">
      <w:r w:rsidRPr="00F875ED">
        <w:rPr>
          <w:b/>
          <w:bCs/>
          <w:u w:val="single"/>
        </w:rPr>
        <w:t>Transfer</w:t>
      </w:r>
      <w:r>
        <w:t>:</w:t>
      </w:r>
    </w:p>
    <w:p w14:paraId="28D4F6E1" w14:textId="0AC305FC" w:rsidR="00C85902" w:rsidRDefault="00C85902" w:rsidP="00024E74">
      <w:r>
        <w:t>Nach der Trennung die Proteine wurde eine Glaswanne mit dem vorstehend unter Material beschriebenen Transferpuffer befüllt und die Halterung für die zweite Kammer in die Flüssigkeit gelegt. Außerdem wurde bereits der erste der beiden Schwämme in der Flüssigkeit getränkt und auf der Halterung platziert. Auf diesem wurde das erste der zwei Filterpapiere in der Flüssigkeit platziert (</w:t>
      </w:r>
      <w:r>
        <w:fldChar w:fldCharType="begin"/>
      </w:r>
      <w:r>
        <w:instrText xml:space="preserve"> REF _Ref120297796 \h </w:instrText>
      </w:r>
      <w:r>
        <w:fldChar w:fldCharType="separate"/>
      </w:r>
      <w:r w:rsidR="00791554">
        <w:t xml:space="preserve">Tabelle </w:t>
      </w:r>
      <w:r w:rsidR="00791554">
        <w:rPr>
          <w:noProof/>
        </w:rPr>
        <w:t>17</w:t>
      </w:r>
      <w:r>
        <w:fldChar w:fldCharType="end"/>
      </w:r>
      <w:r>
        <w:t xml:space="preserve">). Nun wurden die Glasplatten des ersten Gels vorsichtig getrennt und mittels Spatel das Sammelgel vorsichtig entlang der erkennbaren Grenze vom Trenngel getrennt und verworfen. Im nächsten Schritt wurde das Trenngel vorsichtig von der Glasplatte gelöst und auf dem nassen Filterpapier in der Glaswanne platziert. Nun wurde die Membran mit einem Bleistift beschriftet und dann mit einer Pinzette im Transferpuffer befeuchtet und mit der beschrifteten Seite nach unten auf dem Gel platziert. Dadurch konnte in den weiteren Schritten sichergestellt werden, dass klar ist auf welcher Seite der Membran der Transfer stattgefunden hat. Danach wurde wieder ein nasses Filterpapier auf die Membran gelegt und über diesem wurden Luftblasen ausgerollt, da diese den Transfer gestört hätten. Es wurde darauf geachtet, dass alles unter der Wasseroberfläche bleibt, damit sich keine neuen Luftblasen bilden. Abschließend wurde ein zweites zuvor befeuchtetes Schwämmchen auf das Filterpapiergelegt und die Halterung der zweiten Kammer wurde geschlossen und in die Kammer gehängt. </w:t>
      </w:r>
    </w:p>
    <w:p w14:paraId="0D0FDD99" w14:textId="77777777" w:rsidR="00C85902" w:rsidRPr="00024E74" w:rsidRDefault="00C85902" w:rsidP="00024E74">
      <w:r>
        <w:t>Mit dem zweiten Gel wurde gleichermaßen verfahren und zuletzt wurde die zweite Kammer mit Transferpuffer bis zur Markierung befüllt und der Deckel auf der Kammer angebracht. Auch diese Kammer wurde auf Eis platziert und erneut wurden für eine Dauer von 90</w:t>
      </w:r>
      <w:r w:rsidRPr="004620B2">
        <w:rPr>
          <w:w w:val="50"/>
        </w:rPr>
        <w:t> </w:t>
      </w:r>
      <w:r>
        <w:t>Minuten 100</w:t>
      </w:r>
      <w:r w:rsidRPr="004620B2">
        <w:rPr>
          <w:w w:val="50"/>
        </w:rPr>
        <w:t> </w:t>
      </w:r>
      <w:r>
        <w:t>Volt angelegt und regelmäßig die Funktion sowie der Flüssigkeitsstand in der Kammer kontrolliert.</w:t>
      </w:r>
    </w:p>
    <w:p w14:paraId="34B4F17A" w14:textId="77777777" w:rsidR="00C85902" w:rsidRDefault="00C85902" w:rsidP="00DA1B0D">
      <w:r w:rsidRPr="00024538">
        <w:rPr>
          <w:b/>
          <w:bCs/>
          <w:u w:val="single"/>
        </w:rPr>
        <w:t>Material</w:t>
      </w:r>
      <w:r>
        <w:t>:</w:t>
      </w:r>
    </w:p>
    <w:p w14:paraId="1CA0A652" w14:textId="0E85A25F" w:rsidR="00C85902" w:rsidRPr="00105B7A" w:rsidRDefault="00C85902" w:rsidP="005C692B">
      <w:pPr>
        <w:pStyle w:val="Beschriftung"/>
        <w:keepNext/>
        <w:rPr>
          <w:vanish/>
          <w:specVanish/>
        </w:rPr>
      </w:pPr>
      <w:bookmarkStart w:id="114" w:name="_Ref120297796"/>
      <w:bookmarkStart w:id="115" w:name="_Toc120649859"/>
      <w:r>
        <w:t xml:space="preserve">Tabelle </w:t>
      </w:r>
      <w:r>
        <w:fldChar w:fldCharType="begin"/>
      </w:r>
      <w:r>
        <w:instrText xml:space="preserve"> SEQ Tabelle \* ARABIC </w:instrText>
      </w:r>
      <w:r>
        <w:fldChar w:fldCharType="separate"/>
      </w:r>
      <w:r w:rsidR="00791554">
        <w:rPr>
          <w:noProof/>
        </w:rPr>
        <w:t>17</w:t>
      </w:r>
      <w:r>
        <w:rPr>
          <w:noProof/>
        </w:rPr>
        <w:fldChar w:fldCharType="end"/>
      </w:r>
      <w:bookmarkEnd w:id="114"/>
      <w:r>
        <w:t xml:space="preserve"> </w:t>
      </w:r>
      <w:r w:rsidRPr="001B6B1F">
        <w:t>Western Blot Material für den Transfer</w:t>
      </w:r>
      <w:bookmarkEnd w:id="115"/>
    </w:p>
    <w:p w14:paraId="5A1958D3" w14:textId="77777777" w:rsidR="00C85902" w:rsidRDefault="00C85902" w:rsidP="005C692B">
      <w:pPr>
        <w:pStyle w:val="Beschriftung"/>
        <w:keepNext/>
      </w:pPr>
      <w:r>
        <w:br/>
        <w:t xml:space="preserve">In dieser Tabelle sind die für den Transfer benötigten Mengen der Substanzen und deren Hersteller aufgeführt. </w:t>
      </w:r>
    </w:p>
    <w:tbl>
      <w:tblPr>
        <w:tblStyle w:val="Tabellenraster"/>
        <w:tblW w:w="0" w:type="auto"/>
        <w:tblLook w:val="04A0" w:firstRow="1" w:lastRow="0" w:firstColumn="1" w:lastColumn="0" w:noHBand="0" w:noVBand="1"/>
      </w:tblPr>
      <w:tblGrid>
        <w:gridCol w:w="2117"/>
        <w:gridCol w:w="2130"/>
        <w:gridCol w:w="4247"/>
      </w:tblGrid>
      <w:tr w:rsidR="00C85902" w14:paraId="767B6300" w14:textId="77777777" w:rsidTr="00994645">
        <w:tc>
          <w:tcPr>
            <w:tcW w:w="2117" w:type="dxa"/>
            <w:shd w:val="clear" w:color="auto" w:fill="E7E6E6" w:themeFill="background2"/>
          </w:tcPr>
          <w:p w14:paraId="197189F8" w14:textId="77777777" w:rsidR="00C85902" w:rsidRPr="008E15CC" w:rsidRDefault="00C85902" w:rsidP="008E15CC">
            <w:pPr>
              <w:spacing w:line="240" w:lineRule="auto"/>
              <w:jc w:val="center"/>
              <w:rPr>
                <w:b/>
                <w:bCs/>
                <w:sz w:val="20"/>
                <w:szCs w:val="20"/>
              </w:rPr>
            </w:pPr>
            <w:r w:rsidRPr="008E15CC">
              <w:rPr>
                <w:b/>
                <w:bCs/>
                <w:sz w:val="20"/>
                <w:szCs w:val="20"/>
              </w:rPr>
              <w:t>Menge</w:t>
            </w:r>
          </w:p>
        </w:tc>
        <w:tc>
          <w:tcPr>
            <w:tcW w:w="2130" w:type="dxa"/>
            <w:shd w:val="clear" w:color="auto" w:fill="E7E6E6" w:themeFill="background2"/>
          </w:tcPr>
          <w:p w14:paraId="33C6B77A" w14:textId="77777777" w:rsidR="00C85902" w:rsidRPr="008E15CC" w:rsidRDefault="00C85902" w:rsidP="008E15CC">
            <w:pPr>
              <w:spacing w:line="240" w:lineRule="auto"/>
              <w:jc w:val="center"/>
              <w:rPr>
                <w:b/>
                <w:bCs/>
                <w:sz w:val="20"/>
                <w:szCs w:val="20"/>
              </w:rPr>
            </w:pPr>
            <w:r w:rsidRPr="008E15CC">
              <w:rPr>
                <w:b/>
                <w:bCs/>
                <w:sz w:val="20"/>
                <w:szCs w:val="20"/>
              </w:rPr>
              <w:t>Name</w:t>
            </w:r>
          </w:p>
        </w:tc>
        <w:tc>
          <w:tcPr>
            <w:tcW w:w="4247" w:type="dxa"/>
            <w:shd w:val="clear" w:color="auto" w:fill="E7E6E6" w:themeFill="background2"/>
          </w:tcPr>
          <w:p w14:paraId="697988A0" w14:textId="77777777" w:rsidR="00C85902" w:rsidRPr="008E15CC" w:rsidRDefault="00C85902" w:rsidP="008E15CC">
            <w:pPr>
              <w:spacing w:line="240" w:lineRule="auto"/>
              <w:jc w:val="center"/>
              <w:rPr>
                <w:b/>
                <w:bCs/>
                <w:sz w:val="20"/>
                <w:szCs w:val="20"/>
              </w:rPr>
            </w:pPr>
            <w:r w:rsidRPr="008E15CC">
              <w:rPr>
                <w:b/>
                <w:bCs/>
                <w:sz w:val="20"/>
                <w:szCs w:val="20"/>
              </w:rPr>
              <w:t>Hersteller</w:t>
            </w:r>
          </w:p>
        </w:tc>
      </w:tr>
      <w:tr w:rsidR="00C85902" w:rsidRPr="00600BBD" w14:paraId="500EC105" w14:textId="77777777" w:rsidTr="009E4A78">
        <w:tc>
          <w:tcPr>
            <w:tcW w:w="2117" w:type="dxa"/>
          </w:tcPr>
          <w:p w14:paraId="7691E105" w14:textId="77777777" w:rsidR="00C85902" w:rsidRPr="008E15CC" w:rsidRDefault="00C85902" w:rsidP="008E15CC">
            <w:pPr>
              <w:spacing w:line="240" w:lineRule="auto"/>
              <w:rPr>
                <w:sz w:val="20"/>
                <w:szCs w:val="20"/>
              </w:rPr>
            </w:pPr>
            <w:r w:rsidRPr="008E15CC">
              <w:rPr>
                <w:sz w:val="20"/>
                <w:szCs w:val="20"/>
              </w:rPr>
              <w:t>1</w:t>
            </w:r>
            <w:r w:rsidRPr="008E15CC">
              <w:rPr>
                <w:w w:val="50"/>
                <w:sz w:val="20"/>
                <w:szCs w:val="20"/>
              </w:rPr>
              <w:t> </w:t>
            </w:r>
            <w:r w:rsidRPr="008E15CC">
              <w:rPr>
                <w:sz w:val="20"/>
                <w:szCs w:val="20"/>
              </w:rPr>
              <w:t>Liter gekühlter Transferpuffer</w:t>
            </w:r>
          </w:p>
        </w:tc>
        <w:tc>
          <w:tcPr>
            <w:tcW w:w="2130" w:type="dxa"/>
          </w:tcPr>
          <w:p w14:paraId="55727DEB" w14:textId="77777777" w:rsidR="00C85902" w:rsidRPr="008E15CC" w:rsidRDefault="00C85902" w:rsidP="008E15CC">
            <w:pPr>
              <w:spacing w:line="240" w:lineRule="auto"/>
              <w:rPr>
                <w:sz w:val="20"/>
                <w:szCs w:val="20"/>
                <w:lang w:val="en-GB"/>
              </w:rPr>
            </w:pPr>
            <w:r w:rsidRPr="008E15CC">
              <w:rPr>
                <w:sz w:val="20"/>
                <w:szCs w:val="20"/>
                <w:lang w:val="en-GB"/>
              </w:rPr>
              <w:t xml:space="preserve">- </w:t>
            </w:r>
            <w:r w:rsidRPr="00994645">
              <w:rPr>
                <w:sz w:val="20"/>
                <w:szCs w:val="20"/>
                <w:lang w:val="en-GB"/>
              </w:rPr>
              <w:t>100</w:t>
            </w:r>
            <w:r w:rsidRPr="00994645">
              <w:rPr>
                <w:w w:val="50"/>
                <w:sz w:val="20"/>
                <w:szCs w:val="20"/>
                <w:lang w:val="en-GB"/>
              </w:rPr>
              <w:t> </w:t>
            </w:r>
            <w:r w:rsidRPr="00994645">
              <w:rPr>
                <w:sz w:val="20"/>
                <w:szCs w:val="20"/>
                <w:lang w:val="en-GB"/>
              </w:rPr>
              <w:t>ml Tris Glycin</w:t>
            </w:r>
            <w:r w:rsidRPr="008E15CC">
              <w:rPr>
                <w:sz w:val="20"/>
                <w:szCs w:val="20"/>
                <w:lang w:val="en-GB"/>
              </w:rPr>
              <w:t xml:space="preserve"> </w:t>
            </w:r>
            <w:r w:rsidRPr="008E15CC">
              <w:rPr>
                <w:sz w:val="20"/>
                <w:szCs w:val="20"/>
                <w:lang w:val="en-GB"/>
              </w:rPr>
              <w:br/>
              <w:t>- 200</w:t>
            </w:r>
            <w:r w:rsidRPr="008E15CC">
              <w:rPr>
                <w:w w:val="50"/>
                <w:sz w:val="20"/>
                <w:szCs w:val="20"/>
                <w:lang w:val="en-GB"/>
              </w:rPr>
              <w:t> </w:t>
            </w:r>
            <w:r w:rsidRPr="008E15CC">
              <w:rPr>
                <w:sz w:val="20"/>
                <w:szCs w:val="20"/>
                <w:lang w:val="en-GB"/>
              </w:rPr>
              <w:t>ml Methanol</w:t>
            </w:r>
            <w:r w:rsidRPr="008E15CC">
              <w:rPr>
                <w:sz w:val="20"/>
                <w:szCs w:val="20"/>
                <w:lang w:val="en-GB"/>
              </w:rPr>
              <w:br/>
              <w:t>- 700</w:t>
            </w:r>
            <w:r w:rsidRPr="008E15CC">
              <w:rPr>
                <w:w w:val="50"/>
                <w:sz w:val="20"/>
                <w:szCs w:val="20"/>
                <w:lang w:val="en-GB"/>
              </w:rPr>
              <w:t> </w:t>
            </w:r>
            <w:r w:rsidRPr="008E15CC">
              <w:rPr>
                <w:sz w:val="20"/>
                <w:szCs w:val="20"/>
                <w:lang w:val="en-GB"/>
              </w:rPr>
              <w:t>ml Aqua Dest.</w:t>
            </w:r>
          </w:p>
        </w:tc>
        <w:tc>
          <w:tcPr>
            <w:tcW w:w="4247" w:type="dxa"/>
          </w:tcPr>
          <w:p w14:paraId="24557903" w14:textId="77777777" w:rsidR="00C85902" w:rsidRPr="00AE4DDF" w:rsidRDefault="00C85902" w:rsidP="00994645">
            <w:pPr>
              <w:spacing w:line="240" w:lineRule="auto"/>
              <w:jc w:val="center"/>
              <w:rPr>
                <w:sz w:val="20"/>
                <w:szCs w:val="20"/>
                <w:lang w:val="en-GB"/>
              </w:rPr>
            </w:pPr>
            <w:r>
              <w:rPr>
                <w:sz w:val="20"/>
                <w:szCs w:val="20"/>
                <w:lang w:val="en-GB"/>
              </w:rPr>
              <w:t>BioRad REF 161-0734</w:t>
            </w:r>
            <w:r w:rsidRPr="008E15CC">
              <w:rPr>
                <w:sz w:val="20"/>
                <w:szCs w:val="20"/>
                <w:lang w:val="en-GB"/>
              </w:rPr>
              <w:br/>
              <w:t>VWR Chemicals REF 20847.307</w:t>
            </w:r>
          </w:p>
          <w:p w14:paraId="7E103D5B" w14:textId="77777777" w:rsidR="00C85902" w:rsidRPr="008E15CC" w:rsidRDefault="00C85902" w:rsidP="00994645">
            <w:pPr>
              <w:spacing w:line="240" w:lineRule="auto"/>
              <w:jc w:val="center"/>
              <w:rPr>
                <w:sz w:val="20"/>
                <w:szCs w:val="20"/>
                <w:lang w:val="en-GB"/>
              </w:rPr>
            </w:pPr>
          </w:p>
        </w:tc>
      </w:tr>
      <w:tr w:rsidR="00C85902" w:rsidRPr="00DA1B0D" w14:paraId="03862541" w14:textId="77777777" w:rsidTr="00C74592">
        <w:tc>
          <w:tcPr>
            <w:tcW w:w="2117" w:type="dxa"/>
          </w:tcPr>
          <w:p w14:paraId="610FCB7C" w14:textId="77777777" w:rsidR="00C85902" w:rsidRPr="008E15CC" w:rsidRDefault="00C85902" w:rsidP="008E15CC">
            <w:pPr>
              <w:spacing w:line="240" w:lineRule="auto"/>
              <w:rPr>
                <w:sz w:val="20"/>
                <w:szCs w:val="20"/>
                <w:lang w:val="en-GB"/>
              </w:rPr>
            </w:pPr>
            <w:r w:rsidRPr="008E15CC">
              <w:rPr>
                <w:sz w:val="20"/>
                <w:szCs w:val="20"/>
              </w:rPr>
              <w:t>4x</w:t>
            </w:r>
          </w:p>
        </w:tc>
        <w:tc>
          <w:tcPr>
            <w:tcW w:w="2130" w:type="dxa"/>
          </w:tcPr>
          <w:p w14:paraId="35FE38C0" w14:textId="77777777" w:rsidR="00C85902" w:rsidRPr="008E15CC" w:rsidRDefault="00C85902" w:rsidP="008E15CC">
            <w:pPr>
              <w:spacing w:line="240" w:lineRule="auto"/>
              <w:rPr>
                <w:sz w:val="20"/>
                <w:szCs w:val="20"/>
                <w:lang w:val="en-GB"/>
              </w:rPr>
            </w:pPr>
            <w:r w:rsidRPr="008E15CC">
              <w:rPr>
                <w:sz w:val="20"/>
                <w:szCs w:val="20"/>
              </w:rPr>
              <w:t xml:space="preserve">Filterpapier </w:t>
            </w:r>
          </w:p>
        </w:tc>
        <w:tc>
          <w:tcPr>
            <w:tcW w:w="4247" w:type="dxa"/>
          </w:tcPr>
          <w:p w14:paraId="74D3FC62" w14:textId="77777777" w:rsidR="00C85902" w:rsidRPr="008E15CC" w:rsidRDefault="00C85902" w:rsidP="00994645">
            <w:pPr>
              <w:spacing w:line="240" w:lineRule="auto"/>
              <w:jc w:val="center"/>
              <w:rPr>
                <w:sz w:val="20"/>
                <w:szCs w:val="20"/>
                <w:lang w:val="en-GB"/>
              </w:rPr>
            </w:pPr>
            <w:r w:rsidRPr="008E15CC">
              <w:rPr>
                <w:sz w:val="20"/>
                <w:szCs w:val="20"/>
                <w:lang w:val="en-GB"/>
              </w:rPr>
              <w:t>Whatman, Schleicher &amp; Schüll</w:t>
            </w:r>
          </w:p>
        </w:tc>
      </w:tr>
      <w:tr w:rsidR="00C85902" w:rsidRPr="00DA1B0D" w14:paraId="6F366A36" w14:textId="77777777" w:rsidTr="00C74592">
        <w:tc>
          <w:tcPr>
            <w:tcW w:w="2117" w:type="dxa"/>
          </w:tcPr>
          <w:p w14:paraId="4C4FE696" w14:textId="77777777" w:rsidR="00C85902" w:rsidRPr="008E15CC" w:rsidRDefault="00C85902" w:rsidP="008E15CC">
            <w:pPr>
              <w:spacing w:line="240" w:lineRule="auto"/>
              <w:rPr>
                <w:sz w:val="20"/>
                <w:szCs w:val="20"/>
                <w:lang w:val="en-GB"/>
              </w:rPr>
            </w:pPr>
            <w:r w:rsidRPr="008E15CC">
              <w:rPr>
                <w:sz w:val="20"/>
                <w:szCs w:val="20"/>
              </w:rPr>
              <w:t>4x</w:t>
            </w:r>
          </w:p>
        </w:tc>
        <w:tc>
          <w:tcPr>
            <w:tcW w:w="2130" w:type="dxa"/>
          </w:tcPr>
          <w:p w14:paraId="304DD645" w14:textId="77777777" w:rsidR="00C85902" w:rsidRPr="008E15CC" w:rsidRDefault="00C85902" w:rsidP="008E15CC">
            <w:pPr>
              <w:spacing w:line="240" w:lineRule="auto"/>
              <w:rPr>
                <w:sz w:val="20"/>
                <w:szCs w:val="20"/>
                <w:lang w:val="en-GB"/>
              </w:rPr>
            </w:pPr>
            <w:r w:rsidRPr="008E15CC">
              <w:rPr>
                <w:sz w:val="20"/>
                <w:szCs w:val="20"/>
              </w:rPr>
              <w:t>Schwamm</w:t>
            </w:r>
          </w:p>
        </w:tc>
        <w:tc>
          <w:tcPr>
            <w:tcW w:w="4247" w:type="dxa"/>
          </w:tcPr>
          <w:p w14:paraId="3521DD60" w14:textId="77777777" w:rsidR="00C85902" w:rsidRPr="008E15CC" w:rsidRDefault="00C85902" w:rsidP="00994645">
            <w:pPr>
              <w:spacing w:line="240" w:lineRule="auto"/>
              <w:jc w:val="center"/>
              <w:rPr>
                <w:sz w:val="20"/>
                <w:szCs w:val="20"/>
                <w:lang w:val="en-GB"/>
              </w:rPr>
            </w:pPr>
            <w:r w:rsidRPr="008E15CC">
              <w:rPr>
                <w:sz w:val="20"/>
                <w:szCs w:val="20"/>
                <w:lang w:val="en-GB"/>
              </w:rPr>
              <w:t>BioRad</w:t>
            </w:r>
          </w:p>
        </w:tc>
      </w:tr>
      <w:tr w:rsidR="00C85902" w:rsidRPr="00DA1B0D" w14:paraId="03B5C393" w14:textId="77777777" w:rsidTr="009E4A78">
        <w:tc>
          <w:tcPr>
            <w:tcW w:w="2117" w:type="dxa"/>
          </w:tcPr>
          <w:p w14:paraId="15959E9E" w14:textId="77777777" w:rsidR="00C85902" w:rsidRPr="008E15CC" w:rsidRDefault="00C85902" w:rsidP="008E15CC">
            <w:pPr>
              <w:spacing w:line="240" w:lineRule="auto"/>
              <w:rPr>
                <w:sz w:val="20"/>
                <w:szCs w:val="20"/>
                <w:lang w:val="en-GB"/>
              </w:rPr>
            </w:pPr>
            <w:r w:rsidRPr="008E15CC">
              <w:rPr>
                <w:sz w:val="20"/>
                <w:szCs w:val="20"/>
              </w:rPr>
              <w:t>2x</w:t>
            </w:r>
          </w:p>
        </w:tc>
        <w:tc>
          <w:tcPr>
            <w:tcW w:w="2130" w:type="dxa"/>
          </w:tcPr>
          <w:p w14:paraId="27F2D6C3" w14:textId="77777777" w:rsidR="00C85902" w:rsidRPr="008E15CC" w:rsidRDefault="00C85902" w:rsidP="008E15CC">
            <w:pPr>
              <w:spacing w:line="240" w:lineRule="auto"/>
              <w:rPr>
                <w:sz w:val="20"/>
                <w:szCs w:val="20"/>
                <w:lang w:val="en-GB"/>
              </w:rPr>
            </w:pPr>
            <w:r w:rsidRPr="008E15CC">
              <w:rPr>
                <w:sz w:val="20"/>
                <w:szCs w:val="20"/>
              </w:rPr>
              <w:t>Membran</w:t>
            </w:r>
          </w:p>
        </w:tc>
        <w:tc>
          <w:tcPr>
            <w:tcW w:w="4247" w:type="dxa"/>
          </w:tcPr>
          <w:p w14:paraId="2A25B5A2" w14:textId="77777777" w:rsidR="00C85902" w:rsidRPr="008E15CC" w:rsidRDefault="00C85902" w:rsidP="00994645">
            <w:pPr>
              <w:keepNext/>
              <w:spacing w:line="240" w:lineRule="auto"/>
              <w:jc w:val="center"/>
              <w:rPr>
                <w:sz w:val="20"/>
                <w:szCs w:val="20"/>
                <w:lang w:val="en-GB"/>
              </w:rPr>
            </w:pPr>
            <w:r w:rsidRPr="008E15CC">
              <w:rPr>
                <w:sz w:val="20"/>
                <w:szCs w:val="20"/>
                <w:lang w:val="en-GB"/>
              </w:rPr>
              <w:t>GE Healthcare lifescience Amersham</w:t>
            </w:r>
          </w:p>
        </w:tc>
      </w:tr>
    </w:tbl>
    <w:p w14:paraId="6F1C88F6" w14:textId="77777777" w:rsidR="00C85902" w:rsidRPr="007E4F48" w:rsidRDefault="00C85902" w:rsidP="00DA1B0D">
      <w:pPr>
        <w:pStyle w:val="Beschriftung"/>
      </w:pPr>
    </w:p>
    <w:p w14:paraId="34BF25CD" w14:textId="77777777" w:rsidR="00C85902" w:rsidRDefault="00C85902" w:rsidP="00024E74">
      <w:r w:rsidRPr="0020451A">
        <w:rPr>
          <w:b/>
          <w:bCs/>
          <w:u w:val="single"/>
        </w:rPr>
        <w:t>Erst- und Zweitantikörper</w:t>
      </w:r>
      <w:r>
        <w:rPr>
          <w:b/>
          <w:bCs/>
          <w:u w:val="single"/>
        </w:rPr>
        <w:t>-</w:t>
      </w:r>
      <w:r w:rsidRPr="0020451A">
        <w:rPr>
          <w:b/>
          <w:bCs/>
          <w:u w:val="single"/>
        </w:rPr>
        <w:t>Markierung</w:t>
      </w:r>
      <w:r>
        <w:t>:</w:t>
      </w:r>
      <w:r w:rsidRPr="00024E74">
        <w:t xml:space="preserve"> </w:t>
      </w:r>
    </w:p>
    <w:p w14:paraId="2419FA9F" w14:textId="77777777" w:rsidR="00C85902" w:rsidRDefault="00C85902" w:rsidP="00024E74">
      <w:r>
        <w:t>Nach dem Transfer folgte das Waschen der beiden Membranen. Hierfür wurden die Membranen zunächst mit einer Pinzette aus den Halterungen der zweiten Kammer entnommen, in eine Wanne auf den Schüttler gelegt und drei Mal für jeweils 10</w:t>
      </w:r>
      <w:r w:rsidRPr="004620B2">
        <w:rPr>
          <w:w w:val="50"/>
        </w:rPr>
        <w:t> </w:t>
      </w:r>
      <w:r>
        <w:t xml:space="preserve">Minuten in PBS-T gewaschen. Zwischen den einzelnen Waschschritten wurde jeweils das PBS-T verworfen und durch frisches ersetzt- dies erfolgte auch für die im weiteren Verlauf folgenden Waschschritte. </w:t>
      </w:r>
    </w:p>
    <w:p w14:paraId="13B074BD" w14:textId="77777777" w:rsidR="00C85902" w:rsidRDefault="00C85902" w:rsidP="00024E74">
      <w:r>
        <w:t>Nach dem letzten Waschen wurde erneut das PBS verworfen und die beiden Membranen wurden auf dem Schüttler 60</w:t>
      </w:r>
      <w:r w:rsidRPr="004620B2">
        <w:rPr>
          <w:w w:val="50"/>
        </w:rPr>
        <w:t> </w:t>
      </w:r>
      <w:r>
        <w:t>Minuten lang mit 50</w:t>
      </w:r>
      <w:r w:rsidRPr="004620B2">
        <w:rPr>
          <w:w w:val="50"/>
        </w:rPr>
        <w:t> </w:t>
      </w:r>
      <w:r>
        <w:t>ml 5</w:t>
      </w:r>
      <w:r w:rsidRPr="004620B2">
        <w:rPr>
          <w:w w:val="50"/>
        </w:rPr>
        <w:t> </w:t>
      </w:r>
      <w:r>
        <w:t>% Milchpulver-PBS-T geblockt. Daraufhin folgten erneut drei zehnminütige Waschschritte, diesmal jeder mit PBS-T und zuletzt eine weitere Waschung mit PBS für 10</w:t>
      </w:r>
      <w:r w:rsidRPr="004620B2">
        <w:rPr>
          <w:w w:val="50"/>
        </w:rPr>
        <w:t> </w:t>
      </w:r>
      <w:r>
        <w:t xml:space="preserve">Minuten. Auch diese erfolgte auf dem Schüttler. </w:t>
      </w:r>
    </w:p>
    <w:p w14:paraId="737B3B5E" w14:textId="6341898D" w:rsidR="00C85902" w:rsidRDefault="00C85902" w:rsidP="00024E74">
      <w:r>
        <w:t>Nun konnte der erste Antikörper (</w:t>
      </w:r>
      <w:r>
        <w:fldChar w:fldCharType="begin"/>
      </w:r>
      <w:r>
        <w:instrText xml:space="preserve"> REF _Ref120298307 \h </w:instrText>
      </w:r>
      <w:r>
        <w:fldChar w:fldCharType="separate"/>
      </w:r>
      <w:r w:rsidR="00791554">
        <w:t xml:space="preserve">Tabelle </w:t>
      </w:r>
      <w:r w:rsidR="00791554">
        <w:rPr>
          <w:noProof/>
        </w:rPr>
        <w:t>18</w:t>
      </w:r>
      <w:r>
        <w:fldChar w:fldCharType="end"/>
      </w:r>
      <w:r>
        <w:t>) auf die Membranen gebracht werden. Hierfür wurde Anti-CD276 AK im Verhältnis 1:600 mit 5</w:t>
      </w:r>
      <w:r w:rsidRPr="004620B2">
        <w:rPr>
          <w:w w:val="50"/>
        </w:rPr>
        <w:t> </w:t>
      </w:r>
      <w:r>
        <w:t>% Milchpulver-PBS verdünnt und die Membranen in jeweils 6</w:t>
      </w:r>
      <w:r w:rsidRPr="004620B2">
        <w:rPr>
          <w:w w:val="50"/>
        </w:rPr>
        <w:t> </w:t>
      </w:r>
      <w:r>
        <w:t>ml dieser Lösung in einer Wanne über Nacht auf dem Schüttler bei 4</w:t>
      </w:r>
      <w:r w:rsidRPr="004620B2">
        <w:rPr>
          <w:w w:val="50"/>
        </w:rPr>
        <w:t> </w:t>
      </w:r>
      <w:r>
        <w:t xml:space="preserve">°C im Dunkeln inkubiert. </w:t>
      </w:r>
    </w:p>
    <w:p w14:paraId="59A174A4" w14:textId="77777777" w:rsidR="00C85902" w:rsidRDefault="00C85902" w:rsidP="00024E74">
      <w:r>
        <w:t>Am nächsten Tag wurden der Schüttler und das Gefäß aus dem Kühlschrank entnommen und die Membranen mit einer Pinzette in das Waschbehältnis auf dem Schüttler überführt. Nun wurde erneut dreimal für die Dauer von jeweils 10</w:t>
      </w:r>
      <w:r w:rsidRPr="004620B2">
        <w:rPr>
          <w:w w:val="50"/>
        </w:rPr>
        <w:t> </w:t>
      </w:r>
      <w:r>
        <w:t>Minuten mit PBS-T und anschließend nochmals 10</w:t>
      </w:r>
      <w:r w:rsidRPr="004620B2">
        <w:rPr>
          <w:w w:val="50"/>
        </w:rPr>
        <w:t> </w:t>
      </w:r>
      <w:r>
        <w:t xml:space="preserve">Minuten mit PBS gewaschen. </w:t>
      </w:r>
    </w:p>
    <w:p w14:paraId="22049C35" w14:textId="77777777" w:rsidR="00C85902" w:rsidRDefault="00C85902" w:rsidP="00024E74">
      <w:r>
        <w:t xml:space="preserve">Nach diesen Waschschritten folgte die Inkubation mit dem zweiten Antikörper. Hierfür wurde zunächst die Membranen mit einer Pinzette in das lichtgeschützte Behältnis überführt und dann </w:t>
      </w:r>
      <w:r w:rsidRPr="00B67892">
        <w:t>der polyklonale Hase Anti-Maus Antikörper HRP (Horseradish peroxidase auf Deutsch Meerrettich Peroxidase) in</w:t>
      </w:r>
      <w:r>
        <w:t xml:space="preserve"> einem Verhältnis 1:10000 mit 5</w:t>
      </w:r>
      <w:r w:rsidRPr="004620B2">
        <w:rPr>
          <w:w w:val="50"/>
        </w:rPr>
        <w:t> </w:t>
      </w:r>
      <w:r>
        <w:t>% Milchpulver PBS verdünnt.10</w:t>
      </w:r>
      <w:r w:rsidRPr="004620B2">
        <w:rPr>
          <w:w w:val="50"/>
        </w:rPr>
        <w:t> </w:t>
      </w:r>
      <w:r>
        <w:t>ml dieser Lösung wurden mit einer Pipette auf die Membranen gegeben. Anschließend wurde der Behälter mit einem Deckel verschlossen und auf der Schüttelplatte eine Stunde bei Raumtemperatur inkubieren gelassen.</w:t>
      </w:r>
    </w:p>
    <w:p w14:paraId="25E974EC" w14:textId="77777777" w:rsidR="00C85902" w:rsidRDefault="00C85902" w:rsidP="00024E74">
      <w:r>
        <w:t>Nach Ablauf der Zeit wurden die Membranen erneut mit einer Pinzette in das Waschgefäß überführt und es folgten erneut die Waschungen auf dem Schüttler. Begonnen wurde mit drei Waschungen mit PBS-T für je 10</w:t>
      </w:r>
      <w:r w:rsidRPr="004620B2">
        <w:rPr>
          <w:w w:val="50"/>
        </w:rPr>
        <w:t> </w:t>
      </w:r>
      <w:r>
        <w:t>Minuten und abschließend weitere 10</w:t>
      </w:r>
      <w:r w:rsidRPr="004620B2">
        <w:rPr>
          <w:w w:val="50"/>
        </w:rPr>
        <w:t> </w:t>
      </w:r>
      <w:r>
        <w:t xml:space="preserve">Minuten mit PBS. </w:t>
      </w:r>
    </w:p>
    <w:p w14:paraId="08374925" w14:textId="77777777" w:rsidR="00C85902" w:rsidRDefault="00C85902" w:rsidP="00697794">
      <w:pPr>
        <w:rPr>
          <w:b/>
          <w:bCs/>
          <w:u w:val="single"/>
        </w:rPr>
      </w:pPr>
    </w:p>
    <w:p w14:paraId="4BFDC7E3" w14:textId="77777777" w:rsidR="00C85902" w:rsidRDefault="00C85902" w:rsidP="00697794">
      <w:pPr>
        <w:rPr>
          <w:b/>
          <w:bCs/>
          <w:u w:val="single"/>
        </w:rPr>
      </w:pPr>
    </w:p>
    <w:p w14:paraId="61EA3930" w14:textId="77777777" w:rsidR="00C85902" w:rsidRPr="00C74592" w:rsidRDefault="00C85902" w:rsidP="00697794">
      <w:pPr>
        <w:rPr>
          <w:b/>
          <w:bCs/>
          <w:u w:val="single"/>
        </w:rPr>
      </w:pPr>
    </w:p>
    <w:p w14:paraId="71A0CB97" w14:textId="77777777" w:rsidR="00C85902" w:rsidRPr="00934562" w:rsidRDefault="00C85902" w:rsidP="00F25FC8">
      <w:r w:rsidRPr="0020451A">
        <w:rPr>
          <w:b/>
          <w:bCs/>
          <w:u w:val="single"/>
        </w:rPr>
        <w:t>Material</w:t>
      </w:r>
      <w:r>
        <w:t>:</w:t>
      </w:r>
    </w:p>
    <w:p w14:paraId="40AF41F0" w14:textId="126A8050" w:rsidR="00C85902" w:rsidRPr="00105B7A" w:rsidRDefault="00C85902" w:rsidP="00C74592">
      <w:pPr>
        <w:pStyle w:val="Beschriftung"/>
        <w:keepNext/>
        <w:rPr>
          <w:vanish/>
          <w:specVanish/>
        </w:rPr>
      </w:pPr>
      <w:bookmarkStart w:id="116" w:name="_Ref120298307"/>
      <w:bookmarkStart w:id="117" w:name="_Toc120649860"/>
      <w:r>
        <w:t xml:space="preserve">Tabelle </w:t>
      </w:r>
      <w:r>
        <w:fldChar w:fldCharType="begin"/>
      </w:r>
      <w:r>
        <w:instrText xml:space="preserve"> SEQ Tabelle \* ARABIC </w:instrText>
      </w:r>
      <w:r>
        <w:fldChar w:fldCharType="separate"/>
      </w:r>
      <w:r w:rsidR="00791554">
        <w:rPr>
          <w:noProof/>
        </w:rPr>
        <w:t>18</w:t>
      </w:r>
      <w:r>
        <w:rPr>
          <w:noProof/>
        </w:rPr>
        <w:fldChar w:fldCharType="end"/>
      </w:r>
      <w:bookmarkEnd w:id="116"/>
      <w:r>
        <w:t xml:space="preserve"> </w:t>
      </w:r>
      <w:r w:rsidRPr="00056BAE">
        <w:t>Western Blot Material Erst- und Zweitantikörper</w:t>
      </w:r>
      <w:bookmarkEnd w:id="117"/>
      <w:r>
        <w:t xml:space="preserve"> </w:t>
      </w:r>
    </w:p>
    <w:p w14:paraId="1E816530" w14:textId="77777777" w:rsidR="00C85902" w:rsidRDefault="00C85902" w:rsidP="00C74592">
      <w:pPr>
        <w:pStyle w:val="Beschriftung"/>
        <w:keepNext/>
      </w:pPr>
      <w:r>
        <w:t xml:space="preserve"> </w:t>
      </w:r>
      <w:r>
        <w:br/>
        <w:t xml:space="preserve">Aufgeführt sind die Substanzen und deren Hersteller, welche für die Erst- und Zweitantikörper Markierung im Rahmen des Western Blots benötigt werden. PBS: Phosphate-buffered saline </w:t>
      </w:r>
    </w:p>
    <w:tbl>
      <w:tblPr>
        <w:tblStyle w:val="Tabellenraster"/>
        <w:tblW w:w="0" w:type="auto"/>
        <w:tblLook w:val="04A0" w:firstRow="1" w:lastRow="0" w:firstColumn="1" w:lastColumn="0" w:noHBand="0" w:noVBand="1"/>
      </w:tblPr>
      <w:tblGrid>
        <w:gridCol w:w="2115"/>
        <w:gridCol w:w="2529"/>
        <w:gridCol w:w="3850"/>
      </w:tblGrid>
      <w:tr w:rsidR="00C85902" w14:paraId="7980ADDE" w14:textId="77777777" w:rsidTr="002B6705">
        <w:tc>
          <w:tcPr>
            <w:tcW w:w="2115" w:type="dxa"/>
            <w:shd w:val="clear" w:color="auto" w:fill="E7E6E6" w:themeFill="background2"/>
          </w:tcPr>
          <w:p w14:paraId="6513A379" w14:textId="77777777" w:rsidR="00C85902" w:rsidRPr="00105B7A" w:rsidRDefault="00C85902" w:rsidP="00105B7A">
            <w:pPr>
              <w:spacing w:line="240" w:lineRule="auto"/>
              <w:jc w:val="center"/>
              <w:rPr>
                <w:b/>
                <w:bCs/>
                <w:sz w:val="20"/>
                <w:szCs w:val="20"/>
              </w:rPr>
            </w:pPr>
            <w:r w:rsidRPr="00105B7A">
              <w:rPr>
                <w:b/>
                <w:bCs/>
                <w:sz w:val="20"/>
                <w:szCs w:val="20"/>
              </w:rPr>
              <w:t>Menge</w:t>
            </w:r>
          </w:p>
        </w:tc>
        <w:tc>
          <w:tcPr>
            <w:tcW w:w="2529" w:type="dxa"/>
            <w:shd w:val="clear" w:color="auto" w:fill="E7E6E6" w:themeFill="background2"/>
          </w:tcPr>
          <w:p w14:paraId="3D734C46" w14:textId="77777777" w:rsidR="00C85902" w:rsidRPr="00105B7A" w:rsidRDefault="00C85902" w:rsidP="00105B7A">
            <w:pPr>
              <w:spacing w:line="240" w:lineRule="auto"/>
              <w:jc w:val="center"/>
              <w:rPr>
                <w:b/>
                <w:bCs/>
                <w:sz w:val="20"/>
                <w:szCs w:val="20"/>
              </w:rPr>
            </w:pPr>
            <w:r w:rsidRPr="00105B7A">
              <w:rPr>
                <w:b/>
                <w:bCs/>
                <w:sz w:val="20"/>
                <w:szCs w:val="20"/>
              </w:rPr>
              <w:t>Name</w:t>
            </w:r>
          </w:p>
        </w:tc>
        <w:tc>
          <w:tcPr>
            <w:tcW w:w="3850" w:type="dxa"/>
            <w:shd w:val="clear" w:color="auto" w:fill="E7E6E6" w:themeFill="background2"/>
          </w:tcPr>
          <w:p w14:paraId="0B41E1D0" w14:textId="77777777" w:rsidR="00C85902" w:rsidRPr="00105B7A" w:rsidRDefault="00C85902" w:rsidP="00105B7A">
            <w:pPr>
              <w:spacing w:line="240" w:lineRule="auto"/>
              <w:jc w:val="center"/>
              <w:rPr>
                <w:b/>
                <w:bCs/>
                <w:sz w:val="20"/>
                <w:szCs w:val="20"/>
              </w:rPr>
            </w:pPr>
            <w:r w:rsidRPr="00105B7A">
              <w:rPr>
                <w:b/>
                <w:bCs/>
                <w:sz w:val="20"/>
                <w:szCs w:val="20"/>
              </w:rPr>
              <w:t>Hersteller</w:t>
            </w:r>
          </w:p>
        </w:tc>
      </w:tr>
      <w:tr w:rsidR="00C85902" w14:paraId="7EA709FB" w14:textId="77777777" w:rsidTr="002B6705">
        <w:tc>
          <w:tcPr>
            <w:tcW w:w="2115" w:type="dxa"/>
          </w:tcPr>
          <w:p w14:paraId="589B1E86" w14:textId="77777777" w:rsidR="00C85902" w:rsidRPr="00105B7A" w:rsidRDefault="00C85902" w:rsidP="00105B7A">
            <w:pPr>
              <w:spacing w:line="240" w:lineRule="auto"/>
              <w:rPr>
                <w:sz w:val="20"/>
                <w:szCs w:val="20"/>
              </w:rPr>
            </w:pPr>
            <w:r w:rsidRPr="00105B7A">
              <w:rPr>
                <w:sz w:val="20"/>
                <w:szCs w:val="20"/>
              </w:rPr>
              <w:t>1</w:t>
            </w:r>
            <w:r w:rsidRPr="00105B7A">
              <w:rPr>
                <w:w w:val="50"/>
                <w:sz w:val="20"/>
                <w:szCs w:val="20"/>
              </w:rPr>
              <w:t> </w:t>
            </w:r>
            <w:r w:rsidRPr="00105B7A">
              <w:rPr>
                <w:sz w:val="20"/>
                <w:szCs w:val="20"/>
              </w:rPr>
              <w:t>Liter</w:t>
            </w:r>
          </w:p>
        </w:tc>
        <w:tc>
          <w:tcPr>
            <w:tcW w:w="2529" w:type="dxa"/>
          </w:tcPr>
          <w:p w14:paraId="51EEE4B4" w14:textId="77777777" w:rsidR="00C85902" w:rsidRPr="00105B7A" w:rsidRDefault="00C85902" w:rsidP="00105B7A">
            <w:pPr>
              <w:spacing w:line="240" w:lineRule="auto"/>
              <w:rPr>
                <w:sz w:val="20"/>
                <w:szCs w:val="20"/>
              </w:rPr>
            </w:pPr>
            <w:r w:rsidRPr="00105B7A">
              <w:rPr>
                <w:b/>
                <w:bCs/>
                <w:sz w:val="20"/>
                <w:szCs w:val="20"/>
              </w:rPr>
              <w:t xml:space="preserve">PBS </w:t>
            </w:r>
            <w:r w:rsidRPr="00105B7A">
              <w:rPr>
                <w:sz w:val="20"/>
                <w:szCs w:val="20"/>
              </w:rPr>
              <w:br/>
              <w:t>2 Tabletten PBS gelöst mit 1000</w:t>
            </w:r>
            <w:r w:rsidRPr="00105B7A">
              <w:rPr>
                <w:w w:val="50"/>
                <w:sz w:val="20"/>
                <w:szCs w:val="20"/>
              </w:rPr>
              <w:t> </w:t>
            </w:r>
            <w:r w:rsidRPr="00105B7A">
              <w:rPr>
                <w:sz w:val="20"/>
                <w:szCs w:val="20"/>
              </w:rPr>
              <w:t>ml Aqua Dest</w:t>
            </w:r>
          </w:p>
        </w:tc>
        <w:tc>
          <w:tcPr>
            <w:tcW w:w="3850" w:type="dxa"/>
          </w:tcPr>
          <w:p w14:paraId="54C8A80E" w14:textId="77777777" w:rsidR="00C85902" w:rsidRPr="00105B7A" w:rsidRDefault="00C85902" w:rsidP="00994645">
            <w:pPr>
              <w:spacing w:line="240" w:lineRule="auto"/>
              <w:jc w:val="center"/>
              <w:rPr>
                <w:sz w:val="20"/>
                <w:szCs w:val="20"/>
              </w:rPr>
            </w:pPr>
          </w:p>
          <w:p w14:paraId="30E3F2AF" w14:textId="77777777" w:rsidR="00C85902" w:rsidRPr="00105B7A" w:rsidRDefault="00C85902" w:rsidP="00994645">
            <w:pPr>
              <w:spacing w:line="240" w:lineRule="auto"/>
              <w:jc w:val="center"/>
              <w:rPr>
                <w:sz w:val="20"/>
                <w:szCs w:val="20"/>
              </w:rPr>
            </w:pPr>
            <w:r w:rsidRPr="00105B7A">
              <w:rPr>
                <w:sz w:val="20"/>
                <w:szCs w:val="20"/>
              </w:rPr>
              <w:t>Medicago REF 09-9499-100</w:t>
            </w:r>
          </w:p>
          <w:p w14:paraId="33E1F5FF" w14:textId="77777777" w:rsidR="00C85902" w:rsidRPr="00105B7A" w:rsidRDefault="00C85902" w:rsidP="002B6705">
            <w:pPr>
              <w:spacing w:line="240" w:lineRule="auto"/>
              <w:rPr>
                <w:sz w:val="20"/>
                <w:szCs w:val="20"/>
              </w:rPr>
            </w:pPr>
          </w:p>
        </w:tc>
      </w:tr>
      <w:tr w:rsidR="00C85902" w14:paraId="60BA5C54" w14:textId="77777777" w:rsidTr="002B6705">
        <w:tc>
          <w:tcPr>
            <w:tcW w:w="2115" w:type="dxa"/>
          </w:tcPr>
          <w:p w14:paraId="6936D3EC" w14:textId="77777777" w:rsidR="00C85902" w:rsidRPr="00105B7A" w:rsidRDefault="00C85902" w:rsidP="00105B7A">
            <w:pPr>
              <w:spacing w:line="240" w:lineRule="auto"/>
              <w:rPr>
                <w:sz w:val="20"/>
                <w:szCs w:val="20"/>
              </w:rPr>
            </w:pPr>
            <w:r w:rsidRPr="00105B7A">
              <w:rPr>
                <w:sz w:val="20"/>
                <w:szCs w:val="20"/>
              </w:rPr>
              <w:t>1</w:t>
            </w:r>
            <w:r w:rsidRPr="00105B7A">
              <w:rPr>
                <w:w w:val="50"/>
                <w:sz w:val="20"/>
                <w:szCs w:val="20"/>
              </w:rPr>
              <w:t> </w:t>
            </w:r>
            <w:r w:rsidRPr="00105B7A">
              <w:rPr>
                <w:sz w:val="20"/>
                <w:szCs w:val="20"/>
              </w:rPr>
              <w:t>Liter</w:t>
            </w:r>
          </w:p>
        </w:tc>
        <w:tc>
          <w:tcPr>
            <w:tcW w:w="2529" w:type="dxa"/>
          </w:tcPr>
          <w:p w14:paraId="776CFABE" w14:textId="77777777" w:rsidR="00C85902" w:rsidRPr="00105B7A" w:rsidRDefault="00C85902" w:rsidP="00105B7A">
            <w:pPr>
              <w:spacing w:line="240" w:lineRule="auto"/>
              <w:rPr>
                <w:sz w:val="20"/>
                <w:szCs w:val="20"/>
              </w:rPr>
            </w:pPr>
            <w:r w:rsidRPr="00105B7A">
              <w:rPr>
                <w:b/>
                <w:bCs/>
                <w:sz w:val="20"/>
                <w:szCs w:val="20"/>
              </w:rPr>
              <w:t>PBS-T:</w:t>
            </w:r>
            <w:r w:rsidRPr="00105B7A">
              <w:rPr>
                <w:b/>
                <w:bCs/>
                <w:sz w:val="20"/>
                <w:szCs w:val="20"/>
              </w:rPr>
              <w:br/>
            </w:r>
            <w:r w:rsidRPr="00105B7A">
              <w:rPr>
                <w:sz w:val="20"/>
                <w:szCs w:val="20"/>
              </w:rPr>
              <w:t>PBS (s.o.) versetzt mit 1</w:t>
            </w:r>
            <w:r w:rsidRPr="00105B7A">
              <w:rPr>
                <w:w w:val="50"/>
                <w:sz w:val="20"/>
                <w:szCs w:val="20"/>
              </w:rPr>
              <w:t> </w:t>
            </w:r>
            <w:r w:rsidRPr="00105B7A">
              <w:rPr>
                <w:sz w:val="20"/>
                <w:szCs w:val="20"/>
              </w:rPr>
              <w:t>ml Twee</w:t>
            </w:r>
            <w:r>
              <w:rPr>
                <w:sz w:val="20"/>
                <w:szCs w:val="20"/>
              </w:rPr>
              <w:t xml:space="preserve">n </w:t>
            </w:r>
            <w:r w:rsidRPr="00105B7A">
              <w:rPr>
                <w:sz w:val="20"/>
                <w:szCs w:val="20"/>
              </w:rPr>
              <w:t>20 (0,1</w:t>
            </w:r>
            <w:r w:rsidRPr="00105B7A">
              <w:rPr>
                <w:w w:val="50"/>
                <w:sz w:val="20"/>
                <w:szCs w:val="20"/>
              </w:rPr>
              <w:t> </w:t>
            </w:r>
            <w:r w:rsidRPr="00105B7A">
              <w:rPr>
                <w:sz w:val="20"/>
                <w:szCs w:val="20"/>
              </w:rPr>
              <w:t>%)</w:t>
            </w:r>
          </w:p>
        </w:tc>
        <w:tc>
          <w:tcPr>
            <w:tcW w:w="3850" w:type="dxa"/>
          </w:tcPr>
          <w:p w14:paraId="2ADC4E73" w14:textId="77777777" w:rsidR="00C85902" w:rsidRPr="00105B7A" w:rsidRDefault="00C85902" w:rsidP="00994645">
            <w:pPr>
              <w:spacing w:line="240" w:lineRule="auto"/>
              <w:jc w:val="center"/>
              <w:rPr>
                <w:sz w:val="20"/>
                <w:szCs w:val="20"/>
              </w:rPr>
            </w:pPr>
            <w:r w:rsidRPr="00105B7A">
              <w:rPr>
                <w:sz w:val="20"/>
                <w:szCs w:val="20"/>
              </w:rPr>
              <w:br/>
            </w:r>
            <w:r w:rsidRPr="00105B7A">
              <w:rPr>
                <w:sz w:val="20"/>
                <w:szCs w:val="20"/>
              </w:rPr>
              <w:br/>
              <w:t>Merck REF 8221840500</w:t>
            </w:r>
          </w:p>
        </w:tc>
      </w:tr>
      <w:tr w:rsidR="00C85902" w14:paraId="64671D6A" w14:textId="77777777" w:rsidTr="002B6705">
        <w:tc>
          <w:tcPr>
            <w:tcW w:w="2115" w:type="dxa"/>
          </w:tcPr>
          <w:p w14:paraId="6874F873" w14:textId="77777777" w:rsidR="00C85902" w:rsidRPr="00105B7A" w:rsidRDefault="00C85902" w:rsidP="00105B7A">
            <w:pPr>
              <w:spacing w:line="240" w:lineRule="auto"/>
              <w:rPr>
                <w:sz w:val="20"/>
                <w:szCs w:val="20"/>
              </w:rPr>
            </w:pPr>
          </w:p>
        </w:tc>
        <w:tc>
          <w:tcPr>
            <w:tcW w:w="2529" w:type="dxa"/>
          </w:tcPr>
          <w:p w14:paraId="6A6C503B" w14:textId="77777777" w:rsidR="00C85902" w:rsidRPr="00105B7A" w:rsidRDefault="00C85902" w:rsidP="00105B7A">
            <w:pPr>
              <w:spacing w:line="240" w:lineRule="auto"/>
              <w:rPr>
                <w:sz w:val="20"/>
                <w:szCs w:val="20"/>
              </w:rPr>
            </w:pPr>
            <w:r w:rsidRPr="00105B7A">
              <w:rPr>
                <w:sz w:val="20"/>
                <w:szCs w:val="20"/>
              </w:rPr>
              <w:t>Anti-CD276 AK</w:t>
            </w:r>
          </w:p>
        </w:tc>
        <w:tc>
          <w:tcPr>
            <w:tcW w:w="3850" w:type="dxa"/>
          </w:tcPr>
          <w:p w14:paraId="584EDC52" w14:textId="77777777" w:rsidR="00C85902" w:rsidRPr="00105B7A" w:rsidRDefault="00C85902" w:rsidP="00994645">
            <w:pPr>
              <w:spacing w:line="240" w:lineRule="auto"/>
              <w:jc w:val="center"/>
              <w:rPr>
                <w:sz w:val="20"/>
                <w:szCs w:val="20"/>
              </w:rPr>
            </w:pPr>
            <w:r w:rsidRPr="00105B7A">
              <w:rPr>
                <w:bCs/>
                <w:sz w:val="20"/>
                <w:szCs w:val="20"/>
              </w:rPr>
              <w:t>Abcam REF 105922</w:t>
            </w:r>
          </w:p>
        </w:tc>
      </w:tr>
      <w:tr w:rsidR="00C85902" w14:paraId="0A2DBFD8" w14:textId="77777777" w:rsidTr="002B6705">
        <w:tc>
          <w:tcPr>
            <w:tcW w:w="2115" w:type="dxa"/>
          </w:tcPr>
          <w:p w14:paraId="62E04D5D" w14:textId="77777777" w:rsidR="00C85902" w:rsidRPr="00105B7A" w:rsidRDefault="00C85902" w:rsidP="00105B7A">
            <w:pPr>
              <w:spacing w:line="240" w:lineRule="auto"/>
              <w:rPr>
                <w:sz w:val="20"/>
                <w:szCs w:val="20"/>
              </w:rPr>
            </w:pPr>
          </w:p>
        </w:tc>
        <w:tc>
          <w:tcPr>
            <w:tcW w:w="2529" w:type="dxa"/>
          </w:tcPr>
          <w:p w14:paraId="5204CB2A" w14:textId="77777777" w:rsidR="00C85902" w:rsidRPr="00105B7A" w:rsidRDefault="00C85902" w:rsidP="00105B7A">
            <w:pPr>
              <w:spacing w:line="240" w:lineRule="auto"/>
              <w:rPr>
                <w:sz w:val="20"/>
                <w:szCs w:val="20"/>
                <w:lang w:val="en-GB"/>
              </w:rPr>
            </w:pPr>
            <w:r w:rsidRPr="00105B7A">
              <w:rPr>
                <w:sz w:val="20"/>
                <w:szCs w:val="20"/>
                <w:lang w:val="en-GB"/>
              </w:rPr>
              <w:t>Polyklonal Rabbit Anti-Maus Immunoglobulin HRP 1,3</w:t>
            </w:r>
            <w:r w:rsidRPr="00105B7A">
              <w:rPr>
                <w:w w:val="50"/>
                <w:sz w:val="20"/>
                <w:szCs w:val="20"/>
                <w:lang w:val="en-GB"/>
              </w:rPr>
              <w:t> </w:t>
            </w:r>
            <w:r w:rsidRPr="00105B7A">
              <w:rPr>
                <w:sz w:val="20"/>
                <w:szCs w:val="20"/>
                <w:lang w:val="en-GB"/>
              </w:rPr>
              <w:t>g/l</w:t>
            </w:r>
          </w:p>
        </w:tc>
        <w:tc>
          <w:tcPr>
            <w:tcW w:w="3850" w:type="dxa"/>
          </w:tcPr>
          <w:p w14:paraId="1CF2F70E" w14:textId="77777777" w:rsidR="00C85902" w:rsidRPr="00BB55EF" w:rsidRDefault="00C85902" w:rsidP="00994645">
            <w:pPr>
              <w:spacing w:line="240" w:lineRule="auto"/>
              <w:jc w:val="center"/>
              <w:rPr>
                <w:sz w:val="20"/>
                <w:szCs w:val="20"/>
                <w:lang w:val="en-GB"/>
              </w:rPr>
            </w:pPr>
          </w:p>
          <w:p w14:paraId="2FFCA409" w14:textId="77777777" w:rsidR="00C85902" w:rsidRPr="00105B7A" w:rsidRDefault="00C85902" w:rsidP="00994645">
            <w:pPr>
              <w:spacing w:line="240" w:lineRule="auto"/>
              <w:jc w:val="center"/>
              <w:rPr>
                <w:sz w:val="20"/>
                <w:szCs w:val="20"/>
              </w:rPr>
            </w:pPr>
            <w:r w:rsidRPr="00105B7A">
              <w:rPr>
                <w:sz w:val="20"/>
                <w:szCs w:val="20"/>
              </w:rPr>
              <w:t xml:space="preserve">Dako REF </w:t>
            </w:r>
            <w:r w:rsidRPr="00105B7A">
              <w:rPr>
                <w:bCs/>
                <w:sz w:val="20"/>
                <w:szCs w:val="20"/>
              </w:rPr>
              <w:t>P0260</w:t>
            </w:r>
          </w:p>
        </w:tc>
      </w:tr>
      <w:tr w:rsidR="00C85902" w14:paraId="695E85D6" w14:textId="77777777" w:rsidTr="002B6705">
        <w:tc>
          <w:tcPr>
            <w:tcW w:w="2115" w:type="dxa"/>
          </w:tcPr>
          <w:p w14:paraId="18257B64" w14:textId="77777777" w:rsidR="00C85902" w:rsidRPr="00105B7A" w:rsidRDefault="00C85902" w:rsidP="00105B7A">
            <w:pPr>
              <w:spacing w:line="240" w:lineRule="auto"/>
              <w:rPr>
                <w:sz w:val="20"/>
                <w:szCs w:val="20"/>
              </w:rPr>
            </w:pPr>
            <w:r w:rsidRPr="00105B7A">
              <w:rPr>
                <w:sz w:val="20"/>
                <w:szCs w:val="20"/>
              </w:rPr>
              <w:t>50</w:t>
            </w:r>
            <w:r w:rsidRPr="00105B7A">
              <w:rPr>
                <w:w w:val="50"/>
                <w:sz w:val="20"/>
                <w:szCs w:val="20"/>
              </w:rPr>
              <w:t> </w:t>
            </w:r>
            <w:r w:rsidRPr="00105B7A">
              <w:rPr>
                <w:sz w:val="20"/>
                <w:szCs w:val="20"/>
              </w:rPr>
              <w:t>ml 5</w:t>
            </w:r>
            <w:r w:rsidRPr="00105B7A">
              <w:rPr>
                <w:w w:val="50"/>
                <w:sz w:val="20"/>
                <w:szCs w:val="20"/>
              </w:rPr>
              <w:t> </w:t>
            </w:r>
            <w:r w:rsidRPr="00105B7A">
              <w:rPr>
                <w:sz w:val="20"/>
                <w:szCs w:val="20"/>
              </w:rPr>
              <w:t>% Milchpulver PBS-T</w:t>
            </w:r>
          </w:p>
        </w:tc>
        <w:tc>
          <w:tcPr>
            <w:tcW w:w="2529" w:type="dxa"/>
          </w:tcPr>
          <w:p w14:paraId="70FB6E76" w14:textId="77777777" w:rsidR="00C85902" w:rsidRPr="00105B7A" w:rsidRDefault="00C85902" w:rsidP="00105B7A">
            <w:pPr>
              <w:spacing w:line="240" w:lineRule="auto"/>
              <w:rPr>
                <w:sz w:val="20"/>
                <w:szCs w:val="20"/>
              </w:rPr>
            </w:pPr>
            <w:r w:rsidRPr="00105B7A">
              <w:rPr>
                <w:sz w:val="20"/>
                <w:szCs w:val="20"/>
              </w:rPr>
              <w:t>2,5</w:t>
            </w:r>
            <w:r w:rsidRPr="00105B7A">
              <w:rPr>
                <w:w w:val="50"/>
                <w:sz w:val="20"/>
                <w:szCs w:val="20"/>
              </w:rPr>
              <w:t> </w:t>
            </w:r>
            <w:r w:rsidRPr="00105B7A">
              <w:rPr>
                <w:sz w:val="20"/>
                <w:szCs w:val="20"/>
              </w:rPr>
              <w:t xml:space="preserve">g Milchpulver gelöst in </w:t>
            </w:r>
            <w:r w:rsidRPr="00105B7A">
              <w:rPr>
                <w:sz w:val="20"/>
                <w:szCs w:val="20"/>
              </w:rPr>
              <w:br/>
              <w:t>50</w:t>
            </w:r>
            <w:r w:rsidRPr="00105B7A">
              <w:rPr>
                <w:w w:val="50"/>
                <w:sz w:val="20"/>
                <w:szCs w:val="20"/>
              </w:rPr>
              <w:t> </w:t>
            </w:r>
            <w:r w:rsidRPr="00105B7A">
              <w:rPr>
                <w:sz w:val="20"/>
                <w:szCs w:val="20"/>
              </w:rPr>
              <w:t>ml PBS-T</w:t>
            </w:r>
          </w:p>
        </w:tc>
        <w:tc>
          <w:tcPr>
            <w:tcW w:w="3850" w:type="dxa"/>
          </w:tcPr>
          <w:p w14:paraId="78C99B7A" w14:textId="77777777" w:rsidR="00C85902" w:rsidRPr="00105B7A" w:rsidRDefault="00C85902" w:rsidP="00994645">
            <w:pPr>
              <w:keepNext/>
              <w:spacing w:line="240" w:lineRule="auto"/>
              <w:jc w:val="center"/>
              <w:rPr>
                <w:sz w:val="20"/>
                <w:szCs w:val="20"/>
              </w:rPr>
            </w:pPr>
            <w:r w:rsidRPr="00105B7A">
              <w:rPr>
                <w:sz w:val="20"/>
                <w:szCs w:val="20"/>
              </w:rPr>
              <w:t>Tip</w:t>
            </w:r>
          </w:p>
        </w:tc>
      </w:tr>
      <w:tr w:rsidR="00C85902" w14:paraId="2CA3CD83" w14:textId="77777777" w:rsidTr="002B6705">
        <w:tc>
          <w:tcPr>
            <w:tcW w:w="2115" w:type="dxa"/>
          </w:tcPr>
          <w:p w14:paraId="6A415FF2" w14:textId="77777777" w:rsidR="00C85902" w:rsidRPr="00105B7A" w:rsidRDefault="00C85902" w:rsidP="00105B7A">
            <w:pPr>
              <w:spacing w:line="240" w:lineRule="auto"/>
              <w:rPr>
                <w:sz w:val="20"/>
                <w:szCs w:val="20"/>
              </w:rPr>
            </w:pPr>
            <w:r w:rsidRPr="00105B7A">
              <w:rPr>
                <w:sz w:val="20"/>
                <w:szCs w:val="20"/>
              </w:rPr>
              <w:t>20</w:t>
            </w:r>
            <w:r w:rsidRPr="00105B7A">
              <w:rPr>
                <w:w w:val="50"/>
                <w:sz w:val="20"/>
                <w:szCs w:val="20"/>
              </w:rPr>
              <w:t> </w:t>
            </w:r>
            <w:r w:rsidRPr="00105B7A">
              <w:rPr>
                <w:sz w:val="20"/>
                <w:szCs w:val="20"/>
              </w:rPr>
              <w:t>ml 5</w:t>
            </w:r>
            <w:r w:rsidRPr="00105B7A">
              <w:rPr>
                <w:w w:val="50"/>
                <w:sz w:val="20"/>
                <w:szCs w:val="20"/>
              </w:rPr>
              <w:t> </w:t>
            </w:r>
            <w:r w:rsidRPr="00105B7A">
              <w:rPr>
                <w:sz w:val="20"/>
                <w:szCs w:val="20"/>
              </w:rPr>
              <w:t>% Milchpulver PBS</w:t>
            </w:r>
          </w:p>
        </w:tc>
        <w:tc>
          <w:tcPr>
            <w:tcW w:w="2529" w:type="dxa"/>
          </w:tcPr>
          <w:p w14:paraId="690AB4C2" w14:textId="77777777" w:rsidR="00C85902" w:rsidRPr="00105B7A" w:rsidRDefault="00C85902" w:rsidP="00105B7A">
            <w:pPr>
              <w:spacing w:line="240" w:lineRule="auto"/>
              <w:rPr>
                <w:sz w:val="20"/>
                <w:szCs w:val="20"/>
              </w:rPr>
            </w:pPr>
            <w:r w:rsidRPr="00105B7A">
              <w:rPr>
                <w:sz w:val="20"/>
                <w:szCs w:val="20"/>
              </w:rPr>
              <w:t>1</w:t>
            </w:r>
            <w:r w:rsidRPr="00105B7A">
              <w:rPr>
                <w:w w:val="50"/>
                <w:sz w:val="20"/>
                <w:szCs w:val="20"/>
              </w:rPr>
              <w:t> </w:t>
            </w:r>
            <w:r w:rsidRPr="00105B7A">
              <w:rPr>
                <w:sz w:val="20"/>
                <w:szCs w:val="20"/>
              </w:rPr>
              <w:t xml:space="preserve">g Milchpulver gelöst in </w:t>
            </w:r>
            <w:r w:rsidRPr="00105B7A">
              <w:rPr>
                <w:sz w:val="20"/>
                <w:szCs w:val="20"/>
              </w:rPr>
              <w:br/>
              <w:t>20</w:t>
            </w:r>
            <w:r w:rsidRPr="00105B7A">
              <w:rPr>
                <w:w w:val="50"/>
                <w:sz w:val="20"/>
                <w:szCs w:val="20"/>
              </w:rPr>
              <w:t> </w:t>
            </w:r>
            <w:r w:rsidRPr="00105B7A">
              <w:rPr>
                <w:sz w:val="20"/>
                <w:szCs w:val="20"/>
              </w:rPr>
              <w:t>ml PBS</w:t>
            </w:r>
          </w:p>
        </w:tc>
        <w:tc>
          <w:tcPr>
            <w:tcW w:w="3850" w:type="dxa"/>
          </w:tcPr>
          <w:p w14:paraId="5AC55B41" w14:textId="77777777" w:rsidR="00C85902" w:rsidRPr="00105B7A" w:rsidRDefault="00C85902" w:rsidP="00994645">
            <w:pPr>
              <w:spacing w:line="240" w:lineRule="auto"/>
              <w:jc w:val="center"/>
              <w:rPr>
                <w:sz w:val="20"/>
                <w:szCs w:val="20"/>
              </w:rPr>
            </w:pPr>
            <w:r w:rsidRPr="00105B7A">
              <w:rPr>
                <w:sz w:val="20"/>
                <w:szCs w:val="20"/>
              </w:rPr>
              <w:t>Tip</w:t>
            </w:r>
          </w:p>
          <w:p w14:paraId="604AB237" w14:textId="77777777" w:rsidR="00C85902" w:rsidRPr="00105B7A" w:rsidRDefault="00C85902" w:rsidP="002B6705">
            <w:pPr>
              <w:spacing w:line="240" w:lineRule="auto"/>
              <w:jc w:val="center"/>
              <w:rPr>
                <w:sz w:val="20"/>
                <w:szCs w:val="20"/>
              </w:rPr>
            </w:pPr>
            <w:r w:rsidRPr="00105B7A">
              <w:rPr>
                <w:sz w:val="20"/>
                <w:szCs w:val="20"/>
              </w:rPr>
              <w:t>Gibco REF 18912-014</w:t>
            </w:r>
          </w:p>
        </w:tc>
      </w:tr>
      <w:tr w:rsidR="00C85902" w14:paraId="200AADDA" w14:textId="77777777" w:rsidTr="002B6705">
        <w:tc>
          <w:tcPr>
            <w:tcW w:w="2115" w:type="dxa"/>
          </w:tcPr>
          <w:p w14:paraId="230FD2CA" w14:textId="77777777" w:rsidR="00C85902" w:rsidRPr="00105B7A" w:rsidRDefault="00C85902" w:rsidP="00105B7A">
            <w:pPr>
              <w:spacing w:line="240" w:lineRule="auto"/>
              <w:rPr>
                <w:sz w:val="20"/>
                <w:szCs w:val="20"/>
              </w:rPr>
            </w:pPr>
            <w:r w:rsidRPr="00105B7A">
              <w:rPr>
                <w:sz w:val="20"/>
                <w:szCs w:val="20"/>
              </w:rPr>
              <w:t>2</w:t>
            </w:r>
            <w:r w:rsidRPr="00105B7A">
              <w:rPr>
                <w:w w:val="50"/>
                <w:sz w:val="20"/>
                <w:szCs w:val="20"/>
              </w:rPr>
              <w:t> </w:t>
            </w:r>
            <w:r w:rsidRPr="00105B7A">
              <w:rPr>
                <w:sz w:val="20"/>
                <w:szCs w:val="20"/>
              </w:rPr>
              <w:t>ml</w:t>
            </w:r>
          </w:p>
        </w:tc>
        <w:tc>
          <w:tcPr>
            <w:tcW w:w="2529" w:type="dxa"/>
          </w:tcPr>
          <w:p w14:paraId="31164BB4" w14:textId="77777777" w:rsidR="00C85902" w:rsidRPr="00105B7A" w:rsidRDefault="00C85902" w:rsidP="00105B7A">
            <w:pPr>
              <w:spacing w:line="240" w:lineRule="auto"/>
              <w:rPr>
                <w:sz w:val="20"/>
                <w:szCs w:val="20"/>
              </w:rPr>
            </w:pPr>
            <w:r w:rsidRPr="00105B7A">
              <w:rPr>
                <w:sz w:val="20"/>
                <w:szCs w:val="20"/>
              </w:rPr>
              <w:t>WesternSure® Premium</w:t>
            </w:r>
            <w:r w:rsidRPr="00105B7A">
              <w:rPr>
                <w:sz w:val="20"/>
                <w:szCs w:val="20"/>
              </w:rPr>
              <w:br/>
              <w:t>Chemiluminescent</w:t>
            </w:r>
            <w:r w:rsidRPr="00105B7A">
              <w:rPr>
                <w:sz w:val="20"/>
                <w:szCs w:val="20"/>
              </w:rPr>
              <w:br/>
              <w:t>Substrate</w:t>
            </w:r>
          </w:p>
        </w:tc>
        <w:tc>
          <w:tcPr>
            <w:tcW w:w="3850" w:type="dxa"/>
          </w:tcPr>
          <w:p w14:paraId="3F62F455" w14:textId="77777777" w:rsidR="00C85902" w:rsidRPr="00105B7A" w:rsidRDefault="00C85902" w:rsidP="00994645">
            <w:pPr>
              <w:keepNext/>
              <w:spacing w:line="240" w:lineRule="auto"/>
              <w:jc w:val="center"/>
              <w:rPr>
                <w:sz w:val="20"/>
                <w:szCs w:val="20"/>
              </w:rPr>
            </w:pPr>
            <w:r w:rsidRPr="00105B7A">
              <w:rPr>
                <w:sz w:val="20"/>
                <w:szCs w:val="20"/>
              </w:rPr>
              <w:t>Li-Cor® REF 926-95000</w:t>
            </w:r>
          </w:p>
          <w:p w14:paraId="524446B5" w14:textId="77777777" w:rsidR="00C85902" w:rsidRPr="00105B7A" w:rsidRDefault="00C85902" w:rsidP="00994645">
            <w:pPr>
              <w:keepNext/>
              <w:spacing w:line="240" w:lineRule="auto"/>
              <w:jc w:val="center"/>
              <w:rPr>
                <w:sz w:val="20"/>
                <w:szCs w:val="20"/>
              </w:rPr>
            </w:pPr>
          </w:p>
          <w:p w14:paraId="205961D3" w14:textId="77777777" w:rsidR="00C85902" w:rsidRPr="00105B7A" w:rsidRDefault="00C85902" w:rsidP="002B6705">
            <w:pPr>
              <w:keepNext/>
              <w:spacing w:line="240" w:lineRule="auto"/>
              <w:jc w:val="center"/>
              <w:rPr>
                <w:sz w:val="20"/>
                <w:szCs w:val="20"/>
              </w:rPr>
            </w:pPr>
            <w:r w:rsidRPr="00105B7A">
              <w:rPr>
                <w:sz w:val="20"/>
                <w:szCs w:val="20"/>
              </w:rPr>
              <w:t>402-467-0973</w:t>
            </w:r>
          </w:p>
        </w:tc>
      </w:tr>
    </w:tbl>
    <w:p w14:paraId="54BC41A3" w14:textId="77777777" w:rsidR="00C85902" w:rsidRDefault="00C85902" w:rsidP="00934562">
      <w:pPr>
        <w:pStyle w:val="Beschriftung"/>
      </w:pPr>
    </w:p>
    <w:p w14:paraId="552EE1F4" w14:textId="15ED2CDD" w:rsidR="00C85902" w:rsidRDefault="00C85902" w:rsidP="0020451A">
      <w:r w:rsidRPr="00445F8D">
        <w:rPr>
          <w:b/>
          <w:bCs/>
          <w:u w:val="single"/>
        </w:rPr>
        <w:t>Li-</w:t>
      </w:r>
      <w:r>
        <w:rPr>
          <w:b/>
          <w:bCs/>
          <w:u w:val="single"/>
        </w:rPr>
        <w:t>COR</w:t>
      </w:r>
      <w:r w:rsidRPr="00445F8D">
        <w:rPr>
          <w:b/>
          <w:bCs/>
          <w:u w:val="single"/>
        </w:rPr>
        <w:t xml:space="preserve"> Bilddokumentation</w:t>
      </w:r>
      <w:r>
        <w:t>:</w:t>
      </w:r>
      <w:r>
        <w:br/>
        <w:t>Nach dem letzten Waschschritt wurde die erste Membran erneut in ein lichtgeschütztes Behältnis gepackt und mit einer Eppendorf Pipette mit 2</w:t>
      </w:r>
      <w:r w:rsidRPr="004620B2">
        <w:rPr>
          <w:w w:val="50"/>
        </w:rPr>
        <w:t> </w:t>
      </w:r>
      <w:r>
        <w:t xml:space="preserve">ml einer 1:1 Mischung der beiden Substrate des Westernsure (siehe </w:t>
      </w:r>
      <w:r>
        <w:fldChar w:fldCharType="begin"/>
      </w:r>
      <w:r>
        <w:instrText xml:space="preserve"> REF _Ref120298307 \h </w:instrText>
      </w:r>
      <w:r>
        <w:fldChar w:fldCharType="separate"/>
      </w:r>
      <w:r w:rsidR="00791554">
        <w:t xml:space="preserve">Tabelle </w:t>
      </w:r>
      <w:r w:rsidR="00791554">
        <w:rPr>
          <w:noProof/>
        </w:rPr>
        <w:t>18</w:t>
      </w:r>
      <w:r>
        <w:fldChar w:fldCharType="end"/>
      </w:r>
      <w:r>
        <w:t>)  bedeckt und 5</w:t>
      </w:r>
      <w:r w:rsidRPr="004620B2">
        <w:rPr>
          <w:w w:val="50"/>
        </w:rPr>
        <w:t> </w:t>
      </w:r>
      <w:r>
        <w:t xml:space="preserve">Minuten bei Raumtemperatur inkubiert. Bei den Substraten handelt es sich um eine stabile, durch Oxidation chemiluminineszente, dem Luminol ähnliche Komponente und einen </w:t>
      </w:r>
      <w:r w:rsidRPr="006E3351">
        <w:t>Luminol Enhance</w:t>
      </w:r>
      <w:r>
        <w:t xml:space="preserve">r welche mit dem HRP des Antikörpers reagieren. Danach wurde die Membran mit einer Pinzette mit der proteinhaltigen Seite auf dem Scanbereich des </w:t>
      </w:r>
      <w:r w:rsidRPr="006E3351">
        <w:t>C-DiGit</w:t>
      </w:r>
      <w:r w:rsidRPr="006E3351">
        <w:rPr>
          <w:vertAlign w:val="superscript"/>
        </w:rPr>
        <w:t>®</w:t>
      </w:r>
      <w:r w:rsidRPr="006E3351">
        <w:t xml:space="preserve"> Blot </w:t>
      </w:r>
      <w:r>
        <w:t>S</w:t>
      </w:r>
      <w:r w:rsidRPr="006E3351">
        <w:t>canner</w:t>
      </w:r>
      <w:r>
        <w:t xml:space="preserve"> platziert. Nachdem mittels einer Folie die Luftbläschen ausgestrichen wurden, erfolgte eine Aufnahme mittels </w:t>
      </w:r>
      <w:r w:rsidRPr="006E3351">
        <w:t>LI-COR</w:t>
      </w:r>
      <w:r w:rsidRPr="006E3351">
        <w:rPr>
          <w:vertAlign w:val="superscript"/>
        </w:rPr>
        <w:t>®</w:t>
      </w:r>
      <w:r w:rsidRPr="006E3351">
        <w:t xml:space="preserve"> ImageStudio™ Lite </w:t>
      </w:r>
      <w:r>
        <w:t>S</w:t>
      </w:r>
      <w:r w:rsidRPr="006E3351">
        <w:t>oftware</w:t>
      </w:r>
      <w:r>
        <w:t>. Es wurde die sogenannte Enhanced chemiluminescence (ECL) Detection genutzt. Hierbei handelt es sich um eine indirekte Methode, bei der die Wirkung des HRP Enzym (Horseradish peroxidase) des sekundären Antikörpers genutzt wird. HRP reagiert mit den Substraten und generiert daraufhin Licht-Photonen, welche von dem digitalen Imager (</w:t>
      </w:r>
      <w:r w:rsidRPr="006E3351">
        <w:t>C-DiGit</w:t>
      </w:r>
      <w:r w:rsidRPr="006E3351">
        <w:rPr>
          <w:vertAlign w:val="superscript"/>
        </w:rPr>
        <w:t>®</w:t>
      </w:r>
      <w:r w:rsidRPr="006E3351">
        <w:t xml:space="preserve"> Blot </w:t>
      </w:r>
      <w:r>
        <w:t>S</w:t>
      </w:r>
      <w:r w:rsidRPr="006E3351">
        <w:t>canner</w:t>
      </w:r>
      <w:r>
        <w:t xml:space="preserve">) detektiert und gemessen werden. Mit der zweiten Membran wurde identisch verfahren. </w:t>
      </w:r>
    </w:p>
    <w:p w14:paraId="029F4262" w14:textId="77777777" w:rsidR="00C85902" w:rsidRDefault="00C85902" w:rsidP="00697794">
      <w:pPr>
        <w:pStyle w:val="berschrift3"/>
      </w:pPr>
      <w:bookmarkStart w:id="118" w:name="_Toc121158666"/>
      <w:r>
        <w:t>Stripping</w:t>
      </w:r>
      <w:bookmarkEnd w:id="118"/>
      <w:r>
        <w:t xml:space="preserve"> </w:t>
      </w:r>
    </w:p>
    <w:p w14:paraId="32C25CEE" w14:textId="77777777" w:rsidR="00C85902" w:rsidRDefault="00C85902" w:rsidP="006D0774">
      <w:r w:rsidRPr="00A57CDD">
        <w:rPr>
          <w:b/>
          <w:bCs/>
          <w:u w:val="single"/>
        </w:rPr>
        <w:t>Material</w:t>
      </w:r>
      <w:r>
        <w:t>:</w:t>
      </w:r>
    </w:p>
    <w:p w14:paraId="6573DA32" w14:textId="5633FDA9" w:rsidR="00C85902" w:rsidRPr="00105B7A" w:rsidRDefault="00C85902" w:rsidP="00F45962">
      <w:pPr>
        <w:pStyle w:val="Beschriftung"/>
        <w:keepNext/>
        <w:rPr>
          <w:vanish/>
          <w:specVanish/>
        </w:rPr>
      </w:pPr>
      <w:bookmarkStart w:id="119" w:name="_Ref120298758"/>
      <w:bookmarkStart w:id="120" w:name="_Toc120649861"/>
      <w:r>
        <w:t xml:space="preserve">Tabelle </w:t>
      </w:r>
      <w:r>
        <w:fldChar w:fldCharType="begin"/>
      </w:r>
      <w:r>
        <w:instrText xml:space="preserve"> SEQ Tabelle \* ARABIC </w:instrText>
      </w:r>
      <w:r>
        <w:fldChar w:fldCharType="separate"/>
      </w:r>
      <w:r w:rsidR="00791554">
        <w:rPr>
          <w:noProof/>
        </w:rPr>
        <w:t>19</w:t>
      </w:r>
      <w:r>
        <w:rPr>
          <w:noProof/>
        </w:rPr>
        <w:fldChar w:fldCharType="end"/>
      </w:r>
      <w:bookmarkEnd w:id="119"/>
      <w:r>
        <w:t xml:space="preserve"> </w:t>
      </w:r>
      <w:r w:rsidRPr="00AF3CCF">
        <w:t>Western Blot Material Stripping</w:t>
      </w:r>
      <w:bookmarkEnd w:id="120"/>
      <w:r>
        <w:t xml:space="preserve"> </w:t>
      </w:r>
    </w:p>
    <w:p w14:paraId="2886A8CD" w14:textId="77777777" w:rsidR="00C85902" w:rsidRDefault="00C85902" w:rsidP="00F45962">
      <w:pPr>
        <w:pStyle w:val="Beschriftung"/>
        <w:keepNext/>
      </w:pPr>
      <w:r>
        <w:t xml:space="preserve"> </w:t>
      </w:r>
      <w:r>
        <w:br/>
        <w:t>In der Tabelle sind die für das Stripping (Entfernen des ersten Antikörper Paares) benötigten Substanzen inklusive der Hersteller.</w:t>
      </w:r>
    </w:p>
    <w:tbl>
      <w:tblPr>
        <w:tblStyle w:val="Tabellenraster"/>
        <w:tblW w:w="0" w:type="auto"/>
        <w:tblLook w:val="04A0" w:firstRow="1" w:lastRow="0" w:firstColumn="1" w:lastColumn="0" w:noHBand="0" w:noVBand="1"/>
      </w:tblPr>
      <w:tblGrid>
        <w:gridCol w:w="3823"/>
        <w:gridCol w:w="4363"/>
      </w:tblGrid>
      <w:tr w:rsidR="00C85902" w14:paraId="52F678F5" w14:textId="77777777" w:rsidTr="00994645">
        <w:trPr>
          <w:trHeight w:val="270"/>
        </w:trPr>
        <w:tc>
          <w:tcPr>
            <w:tcW w:w="3823" w:type="dxa"/>
            <w:shd w:val="clear" w:color="auto" w:fill="E7E6E6" w:themeFill="background2"/>
          </w:tcPr>
          <w:p w14:paraId="510684E2" w14:textId="77777777" w:rsidR="00C85902" w:rsidRPr="00105B7A" w:rsidRDefault="00C85902" w:rsidP="00105B7A">
            <w:pPr>
              <w:spacing w:line="240" w:lineRule="auto"/>
              <w:jc w:val="center"/>
              <w:rPr>
                <w:b/>
                <w:bCs/>
                <w:sz w:val="20"/>
                <w:szCs w:val="20"/>
              </w:rPr>
            </w:pPr>
            <w:r w:rsidRPr="00105B7A">
              <w:rPr>
                <w:b/>
                <w:bCs/>
                <w:sz w:val="20"/>
                <w:szCs w:val="20"/>
              </w:rPr>
              <w:t>Name</w:t>
            </w:r>
          </w:p>
        </w:tc>
        <w:tc>
          <w:tcPr>
            <w:tcW w:w="4363" w:type="dxa"/>
            <w:shd w:val="clear" w:color="auto" w:fill="E7E6E6" w:themeFill="background2"/>
          </w:tcPr>
          <w:p w14:paraId="0224A5BA" w14:textId="77777777" w:rsidR="00C85902" w:rsidRPr="00105B7A" w:rsidRDefault="00C85902" w:rsidP="00105B7A">
            <w:pPr>
              <w:spacing w:line="240" w:lineRule="auto"/>
              <w:jc w:val="center"/>
              <w:rPr>
                <w:b/>
                <w:bCs/>
                <w:sz w:val="20"/>
                <w:szCs w:val="20"/>
              </w:rPr>
            </w:pPr>
            <w:r w:rsidRPr="00105B7A">
              <w:rPr>
                <w:b/>
                <w:bCs/>
                <w:sz w:val="20"/>
                <w:szCs w:val="20"/>
              </w:rPr>
              <w:t>Hersteller</w:t>
            </w:r>
          </w:p>
        </w:tc>
      </w:tr>
      <w:tr w:rsidR="00C85902" w14:paraId="1BAB6A65" w14:textId="77777777" w:rsidTr="009E4A78">
        <w:trPr>
          <w:trHeight w:val="1026"/>
        </w:trPr>
        <w:tc>
          <w:tcPr>
            <w:tcW w:w="3823" w:type="dxa"/>
          </w:tcPr>
          <w:p w14:paraId="548B252C" w14:textId="77777777" w:rsidR="00C85902" w:rsidRPr="00105B7A" w:rsidRDefault="00C85902" w:rsidP="00105B7A">
            <w:pPr>
              <w:spacing w:line="240" w:lineRule="auto"/>
              <w:rPr>
                <w:sz w:val="20"/>
                <w:szCs w:val="20"/>
              </w:rPr>
            </w:pPr>
            <w:r w:rsidRPr="00105B7A">
              <w:rPr>
                <w:b/>
                <w:bCs/>
                <w:sz w:val="20"/>
                <w:szCs w:val="20"/>
              </w:rPr>
              <w:t>Stripping Buffer</w:t>
            </w:r>
            <w:r w:rsidRPr="00105B7A">
              <w:rPr>
                <w:sz w:val="20"/>
                <w:szCs w:val="20"/>
              </w:rPr>
              <w:t xml:space="preserve"> bestehend aus:</w:t>
            </w:r>
            <w:r w:rsidRPr="00105B7A">
              <w:rPr>
                <w:sz w:val="20"/>
                <w:szCs w:val="20"/>
              </w:rPr>
              <w:br/>
              <w:t>M Glycin</w:t>
            </w:r>
          </w:p>
          <w:p w14:paraId="791DF57A" w14:textId="77777777" w:rsidR="00C85902" w:rsidRPr="00105B7A" w:rsidRDefault="00C85902" w:rsidP="00105B7A">
            <w:pPr>
              <w:spacing w:line="240" w:lineRule="auto"/>
              <w:rPr>
                <w:sz w:val="20"/>
                <w:szCs w:val="20"/>
              </w:rPr>
            </w:pPr>
            <w:r w:rsidRPr="00105B7A">
              <w:rPr>
                <w:sz w:val="20"/>
                <w:szCs w:val="20"/>
              </w:rPr>
              <w:t xml:space="preserve">10% SDS </w:t>
            </w:r>
            <w:r w:rsidRPr="00105B7A">
              <w:rPr>
                <w:sz w:val="20"/>
                <w:szCs w:val="20"/>
              </w:rPr>
              <w:br/>
              <w:t>Tween20</w:t>
            </w:r>
            <w:r w:rsidRPr="00105B7A">
              <w:rPr>
                <w:sz w:val="20"/>
                <w:szCs w:val="20"/>
              </w:rPr>
              <w:br/>
              <w:t>Aqua Dest.</w:t>
            </w:r>
          </w:p>
        </w:tc>
        <w:tc>
          <w:tcPr>
            <w:tcW w:w="4363" w:type="dxa"/>
          </w:tcPr>
          <w:p w14:paraId="0D5F4A20" w14:textId="77777777" w:rsidR="00C85902" w:rsidRPr="00105B7A" w:rsidRDefault="00C85902" w:rsidP="002B6705">
            <w:pPr>
              <w:spacing w:line="240" w:lineRule="auto"/>
              <w:jc w:val="center"/>
              <w:rPr>
                <w:sz w:val="20"/>
                <w:szCs w:val="20"/>
                <w:lang w:val="en-GB"/>
              </w:rPr>
            </w:pPr>
            <w:r w:rsidRPr="00105B7A">
              <w:rPr>
                <w:sz w:val="20"/>
                <w:szCs w:val="20"/>
                <w:lang w:val="en-GB"/>
              </w:rPr>
              <w:br/>
              <w:t>Merck REF 4201</w:t>
            </w:r>
            <w:r w:rsidRPr="00105B7A">
              <w:rPr>
                <w:sz w:val="20"/>
                <w:szCs w:val="20"/>
                <w:lang w:val="en-GB"/>
              </w:rPr>
              <w:br/>
              <w:t xml:space="preserve">Serva Feinbiochemika REF </w:t>
            </w:r>
            <w:r w:rsidRPr="00105B7A">
              <w:rPr>
                <w:sz w:val="20"/>
                <w:szCs w:val="20"/>
              </w:rPr>
              <w:t>20760</w:t>
            </w:r>
            <w:r w:rsidRPr="00105B7A">
              <w:rPr>
                <w:sz w:val="20"/>
                <w:szCs w:val="20"/>
                <w:lang w:val="en-GB"/>
              </w:rPr>
              <w:br/>
              <w:t xml:space="preserve">Merck REF </w:t>
            </w:r>
            <w:r w:rsidRPr="00105B7A">
              <w:rPr>
                <w:sz w:val="20"/>
                <w:szCs w:val="20"/>
              </w:rPr>
              <w:t>8221840500</w:t>
            </w:r>
          </w:p>
        </w:tc>
      </w:tr>
      <w:tr w:rsidR="00C85902" w14:paraId="01785CAF" w14:textId="77777777" w:rsidTr="00105B7A">
        <w:trPr>
          <w:trHeight w:val="247"/>
        </w:trPr>
        <w:tc>
          <w:tcPr>
            <w:tcW w:w="3823" w:type="dxa"/>
          </w:tcPr>
          <w:p w14:paraId="1A1D6415" w14:textId="77777777" w:rsidR="00C85902" w:rsidRPr="00105B7A" w:rsidRDefault="00C85902" w:rsidP="00105B7A">
            <w:pPr>
              <w:spacing w:line="240" w:lineRule="auto"/>
              <w:rPr>
                <w:sz w:val="20"/>
                <w:szCs w:val="20"/>
              </w:rPr>
            </w:pPr>
            <w:r w:rsidRPr="00105B7A">
              <w:rPr>
                <w:sz w:val="20"/>
                <w:szCs w:val="20"/>
              </w:rPr>
              <w:t>PBS Tween</w:t>
            </w:r>
          </w:p>
        </w:tc>
        <w:tc>
          <w:tcPr>
            <w:tcW w:w="4363" w:type="dxa"/>
            <w:vMerge w:val="restart"/>
          </w:tcPr>
          <w:p w14:paraId="749546BA" w14:textId="77777777" w:rsidR="00C85902" w:rsidRDefault="00C85902" w:rsidP="002B6705">
            <w:pPr>
              <w:spacing w:line="240" w:lineRule="auto"/>
              <w:jc w:val="center"/>
              <w:rPr>
                <w:sz w:val="20"/>
                <w:szCs w:val="20"/>
              </w:rPr>
            </w:pPr>
          </w:p>
          <w:p w14:paraId="1DC74A41" w14:textId="0E345D77" w:rsidR="00C85902" w:rsidRPr="00105B7A" w:rsidRDefault="00C85902" w:rsidP="002B6705">
            <w:pPr>
              <w:spacing w:line="240" w:lineRule="auto"/>
              <w:jc w:val="center"/>
              <w:rPr>
                <w:sz w:val="20"/>
                <w:szCs w:val="20"/>
              </w:rPr>
            </w:pPr>
            <w:r w:rsidRPr="00105B7A">
              <w:rPr>
                <w:sz w:val="20"/>
                <w:szCs w:val="20"/>
              </w:rPr>
              <w:t xml:space="preserve">(siehe </w:t>
            </w:r>
            <w:r w:rsidRPr="00105B7A">
              <w:rPr>
                <w:sz w:val="20"/>
                <w:szCs w:val="20"/>
              </w:rPr>
              <w:fldChar w:fldCharType="begin"/>
            </w:r>
            <w:r w:rsidRPr="00105B7A">
              <w:rPr>
                <w:sz w:val="20"/>
                <w:szCs w:val="20"/>
              </w:rPr>
              <w:instrText xml:space="preserve"> REF _Ref120298307 \h  \* MERGEFORMAT </w:instrText>
            </w:r>
            <w:r w:rsidRPr="00105B7A">
              <w:rPr>
                <w:sz w:val="20"/>
                <w:szCs w:val="20"/>
              </w:rPr>
            </w:r>
            <w:r w:rsidRPr="00105B7A">
              <w:rPr>
                <w:sz w:val="20"/>
                <w:szCs w:val="20"/>
              </w:rPr>
              <w:fldChar w:fldCharType="separate"/>
            </w:r>
            <w:r w:rsidR="00791554" w:rsidRPr="00791554">
              <w:rPr>
                <w:sz w:val="20"/>
                <w:szCs w:val="20"/>
              </w:rPr>
              <w:t xml:space="preserve">Tabelle </w:t>
            </w:r>
            <w:r w:rsidR="00791554" w:rsidRPr="00791554">
              <w:rPr>
                <w:noProof/>
                <w:sz w:val="20"/>
                <w:szCs w:val="20"/>
              </w:rPr>
              <w:t>18</w:t>
            </w:r>
            <w:r w:rsidRPr="00105B7A">
              <w:rPr>
                <w:sz w:val="20"/>
                <w:szCs w:val="20"/>
              </w:rPr>
              <w:fldChar w:fldCharType="end"/>
            </w:r>
            <w:r w:rsidRPr="00105B7A">
              <w:rPr>
                <w:sz w:val="20"/>
                <w:szCs w:val="20"/>
              </w:rPr>
              <w:t>)</w:t>
            </w:r>
          </w:p>
        </w:tc>
      </w:tr>
      <w:tr w:rsidR="00C85902" w14:paraId="148DF881" w14:textId="77777777" w:rsidTr="00105B7A">
        <w:trPr>
          <w:trHeight w:val="142"/>
        </w:trPr>
        <w:tc>
          <w:tcPr>
            <w:tcW w:w="3823" w:type="dxa"/>
          </w:tcPr>
          <w:p w14:paraId="01885A7A" w14:textId="77777777" w:rsidR="00C85902" w:rsidRPr="00105B7A" w:rsidRDefault="00C85902" w:rsidP="00105B7A">
            <w:pPr>
              <w:spacing w:line="240" w:lineRule="auto"/>
              <w:rPr>
                <w:sz w:val="20"/>
                <w:szCs w:val="20"/>
              </w:rPr>
            </w:pPr>
            <w:r w:rsidRPr="00105B7A">
              <w:rPr>
                <w:sz w:val="20"/>
                <w:szCs w:val="20"/>
              </w:rPr>
              <w:t>PBS</w:t>
            </w:r>
          </w:p>
        </w:tc>
        <w:tc>
          <w:tcPr>
            <w:tcW w:w="4363" w:type="dxa"/>
            <w:vMerge/>
          </w:tcPr>
          <w:p w14:paraId="6703B6F0" w14:textId="77777777" w:rsidR="00C85902" w:rsidRDefault="00C85902" w:rsidP="00105B7A">
            <w:pPr>
              <w:keepNext/>
              <w:spacing w:line="240" w:lineRule="auto"/>
            </w:pPr>
          </w:p>
        </w:tc>
      </w:tr>
    </w:tbl>
    <w:p w14:paraId="258339E4" w14:textId="77777777" w:rsidR="00C85902" w:rsidRDefault="00C85902" w:rsidP="006D0774">
      <w:pPr>
        <w:pStyle w:val="Beschriftung"/>
      </w:pPr>
    </w:p>
    <w:p w14:paraId="3650AF2E" w14:textId="5B172855" w:rsidR="00C85902" w:rsidRPr="006D0774" w:rsidRDefault="00C85902" w:rsidP="006D0774">
      <w:r>
        <w:t>Zum Strippen, also Entfernen des ersten Antikörper Paares, mussten die beiden Membranen dreimal für die Dauer von jeweils 20</w:t>
      </w:r>
      <w:r w:rsidRPr="004620B2">
        <w:rPr>
          <w:w w:val="50"/>
        </w:rPr>
        <w:t> </w:t>
      </w:r>
      <w:r>
        <w:t>Minuten mit der Stripping Lösung (</w:t>
      </w:r>
      <w:r>
        <w:fldChar w:fldCharType="begin"/>
      </w:r>
      <w:r>
        <w:instrText xml:space="preserve"> REF _Ref120298758 \h </w:instrText>
      </w:r>
      <w:r>
        <w:fldChar w:fldCharType="separate"/>
      </w:r>
      <w:r w:rsidR="00791554">
        <w:t xml:space="preserve">Tabelle </w:t>
      </w:r>
      <w:r w:rsidR="00791554">
        <w:rPr>
          <w:noProof/>
        </w:rPr>
        <w:t>19</w:t>
      </w:r>
      <w:r>
        <w:fldChar w:fldCharType="end"/>
      </w:r>
      <w:r>
        <w:t>) auf dem Schüttler gewaschen werden. Zum Abschluss folgte erneut ein 10</w:t>
      </w:r>
      <w:r>
        <w:rPr>
          <w:w w:val="50"/>
        </w:rPr>
        <w:t>-</w:t>
      </w:r>
      <w:r>
        <w:t xml:space="preserve">minütiger Waschgang mit PBS. </w:t>
      </w:r>
    </w:p>
    <w:p w14:paraId="505D38E6" w14:textId="77777777" w:rsidR="00C85902" w:rsidRPr="00697794" w:rsidRDefault="00C85902" w:rsidP="00697794">
      <w:pPr>
        <w:pStyle w:val="berschrift3"/>
      </w:pPr>
      <w:bookmarkStart w:id="121" w:name="_Toc121158667"/>
      <w:r>
        <w:t>Erst- und Zweitantikörper Markierung mit Housekeeping Protein ß-Aktin</w:t>
      </w:r>
      <w:bookmarkEnd w:id="121"/>
    </w:p>
    <w:p w14:paraId="235CAA72" w14:textId="77777777" w:rsidR="00C85902" w:rsidRPr="00F16E98" w:rsidRDefault="00C85902" w:rsidP="00F16E98">
      <w:pPr>
        <w:rPr>
          <w:rFonts w:cs="Arial"/>
          <w:color w:val="000000"/>
          <w:szCs w:val="24"/>
        </w:rPr>
      </w:pPr>
      <w:r w:rsidRPr="000C489F">
        <w:rPr>
          <w:rFonts w:cs="Arial"/>
          <w:b/>
          <w:bCs/>
          <w:color w:val="000000"/>
          <w:szCs w:val="24"/>
          <w:u w:val="single"/>
        </w:rPr>
        <w:t>Material</w:t>
      </w:r>
      <w:r>
        <w:rPr>
          <w:rFonts w:cs="Arial"/>
          <w:color w:val="000000"/>
          <w:szCs w:val="24"/>
        </w:rPr>
        <w:t>:</w:t>
      </w:r>
    </w:p>
    <w:p w14:paraId="3503978E" w14:textId="598F6CAD" w:rsidR="00C85902" w:rsidRPr="00BC3D3B" w:rsidRDefault="00C85902" w:rsidP="00F45962">
      <w:pPr>
        <w:pStyle w:val="Beschriftung"/>
        <w:keepNext/>
        <w:rPr>
          <w:vanish/>
          <w:specVanish/>
        </w:rPr>
      </w:pPr>
      <w:bookmarkStart w:id="122" w:name="_Ref120298867"/>
      <w:bookmarkStart w:id="123" w:name="_Toc120649862"/>
      <w:r>
        <w:t xml:space="preserve">Tabelle </w:t>
      </w:r>
      <w:r>
        <w:fldChar w:fldCharType="begin"/>
      </w:r>
      <w:r>
        <w:instrText xml:space="preserve"> SEQ Tabelle \* ARABIC </w:instrText>
      </w:r>
      <w:r>
        <w:fldChar w:fldCharType="separate"/>
      </w:r>
      <w:r w:rsidR="00791554">
        <w:rPr>
          <w:noProof/>
        </w:rPr>
        <w:t>20</w:t>
      </w:r>
      <w:r>
        <w:rPr>
          <w:noProof/>
        </w:rPr>
        <w:fldChar w:fldCharType="end"/>
      </w:r>
      <w:bookmarkEnd w:id="122"/>
      <w:r>
        <w:t xml:space="preserve"> </w:t>
      </w:r>
      <w:r w:rsidRPr="008F19F8">
        <w:t>Western Blot Material Antikörper Färbung der Housekeeping Proteine</w:t>
      </w:r>
      <w:bookmarkEnd w:id="123"/>
      <w:r>
        <w:t xml:space="preserve"> </w:t>
      </w:r>
    </w:p>
    <w:p w14:paraId="65D9E8A4" w14:textId="77777777" w:rsidR="00C85902" w:rsidRDefault="00C85902" w:rsidP="00F45962">
      <w:pPr>
        <w:pStyle w:val="Beschriftung"/>
        <w:keepNext/>
      </w:pPr>
      <w:r>
        <w:t xml:space="preserve"> </w:t>
      </w:r>
      <w:r>
        <w:br/>
        <w:t>Aufgeführt sind die Mengen- und Herstellerangaben der für die Antikörper Färbung des Housekeeping Protein beta-Aktin benötigten Substanzen.</w:t>
      </w:r>
    </w:p>
    <w:tbl>
      <w:tblPr>
        <w:tblStyle w:val="Tabellenraster"/>
        <w:tblW w:w="0" w:type="auto"/>
        <w:tblLook w:val="04A0" w:firstRow="1" w:lastRow="0" w:firstColumn="1" w:lastColumn="0" w:noHBand="0" w:noVBand="1"/>
      </w:tblPr>
      <w:tblGrid>
        <w:gridCol w:w="850"/>
        <w:gridCol w:w="4253"/>
        <w:gridCol w:w="3391"/>
      </w:tblGrid>
      <w:tr w:rsidR="00C85902" w14:paraId="22200538" w14:textId="77777777" w:rsidTr="002904A8">
        <w:tc>
          <w:tcPr>
            <w:tcW w:w="850" w:type="dxa"/>
            <w:shd w:val="clear" w:color="auto" w:fill="E7E6E6" w:themeFill="background2"/>
          </w:tcPr>
          <w:p w14:paraId="73BED569" w14:textId="77777777" w:rsidR="00C85902" w:rsidRPr="00105B7A" w:rsidRDefault="00C85902" w:rsidP="002904A8">
            <w:pPr>
              <w:spacing w:line="240" w:lineRule="auto"/>
              <w:jc w:val="center"/>
              <w:rPr>
                <w:rFonts w:cs="Arial"/>
                <w:b/>
                <w:bCs/>
                <w:color w:val="000000"/>
                <w:sz w:val="20"/>
              </w:rPr>
            </w:pPr>
            <w:r w:rsidRPr="00105B7A">
              <w:rPr>
                <w:rFonts w:cs="Arial"/>
                <w:b/>
                <w:bCs/>
                <w:color w:val="000000"/>
                <w:sz w:val="20"/>
              </w:rPr>
              <w:t>Menge</w:t>
            </w:r>
          </w:p>
        </w:tc>
        <w:tc>
          <w:tcPr>
            <w:tcW w:w="4361" w:type="dxa"/>
            <w:shd w:val="clear" w:color="auto" w:fill="E7E6E6" w:themeFill="background2"/>
          </w:tcPr>
          <w:p w14:paraId="7B0E0451" w14:textId="77777777" w:rsidR="00C85902" w:rsidRPr="00105B7A" w:rsidRDefault="00C85902" w:rsidP="002904A8">
            <w:pPr>
              <w:spacing w:line="240" w:lineRule="auto"/>
              <w:jc w:val="center"/>
              <w:rPr>
                <w:rFonts w:cs="Arial"/>
                <w:b/>
                <w:bCs/>
                <w:color w:val="000000"/>
                <w:sz w:val="20"/>
              </w:rPr>
            </w:pPr>
            <w:r w:rsidRPr="00105B7A">
              <w:rPr>
                <w:rFonts w:cs="Arial"/>
                <w:b/>
                <w:bCs/>
                <w:color w:val="000000"/>
                <w:sz w:val="20"/>
              </w:rPr>
              <w:t>Name</w:t>
            </w:r>
          </w:p>
        </w:tc>
        <w:tc>
          <w:tcPr>
            <w:tcW w:w="3509" w:type="dxa"/>
            <w:shd w:val="clear" w:color="auto" w:fill="E7E6E6" w:themeFill="background2"/>
          </w:tcPr>
          <w:p w14:paraId="63C89C46" w14:textId="77777777" w:rsidR="00C85902" w:rsidRPr="00105B7A" w:rsidRDefault="00C85902" w:rsidP="002904A8">
            <w:pPr>
              <w:spacing w:line="240" w:lineRule="auto"/>
              <w:jc w:val="center"/>
              <w:rPr>
                <w:rFonts w:cs="Arial"/>
                <w:color w:val="000000"/>
                <w:sz w:val="20"/>
              </w:rPr>
            </w:pPr>
            <w:r w:rsidRPr="00105B7A">
              <w:rPr>
                <w:rFonts w:cs="Arial"/>
                <w:b/>
                <w:bCs/>
                <w:color w:val="000000"/>
                <w:sz w:val="20"/>
              </w:rPr>
              <w:t>Hersteller</w:t>
            </w:r>
          </w:p>
        </w:tc>
      </w:tr>
      <w:tr w:rsidR="00C85902" w14:paraId="0D3D9CA1" w14:textId="77777777" w:rsidTr="00105B7A">
        <w:tc>
          <w:tcPr>
            <w:tcW w:w="850" w:type="dxa"/>
          </w:tcPr>
          <w:p w14:paraId="4174FC60" w14:textId="77777777" w:rsidR="00C85902" w:rsidRPr="00105B7A" w:rsidRDefault="00C85902" w:rsidP="00105B7A">
            <w:pPr>
              <w:spacing w:line="240" w:lineRule="auto"/>
              <w:rPr>
                <w:rFonts w:cs="Arial"/>
                <w:color w:val="000000"/>
                <w:sz w:val="20"/>
              </w:rPr>
            </w:pPr>
            <w:r w:rsidRPr="00105B7A">
              <w:rPr>
                <w:rFonts w:cs="Arial"/>
                <w:color w:val="000000"/>
                <w:sz w:val="20"/>
              </w:rPr>
              <w:t>1:1000</w:t>
            </w:r>
          </w:p>
        </w:tc>
        <w:tc>
          <w:tcPr>
            <w:tcW w:w="4361" w:type="dxa"/>
          </w:tcPr>
          <w:p w14:paraId="4002D035" w14:textId="77777777" w:rsidR="00C85902" w:rsidRPr="00105B7A" w:rsidRDefault="00C85902" w:rsidP="00105B7A">
            <w:pPr>
              <w:spacing w:line="240" w:lineRule="auto"/>
              <w:rPr>
                <w:rFonts w:cs="Arial"/>
                <w:color w:val="000000"/>
                <w:sz w:val="20"/>
              </w:rPr>
            </w:pPr>
            <w:r w:rsidRPr="00105B7A">
              <w:rPr>
                <w:sz w:val="20"/>
              </w:rPr>
              <w:t>Anti-beta Aktin AK</w:t>
            </w:r>
          </w:p>
        </w:tc>
        <w:tc>
          <w:tcPr>
            <w:tcW w:w="3509" w:type="dxa"/>
          </w:tcPr>
          <w:p w14:paraId="46FA5938" w14:textId="77777777" w:rsidR="00C85902" w:rsidRPr="00105B7A" w:rsidRDefault="00C85902" w:rsidP="002B6705">
            <w:pPr>
              <w:spacing w:line="240" w:lineRule="auto"/>
              <w:jc w:val="center"/>
              <w:rPr>
                <w:rFonts w:cs="Arial"/>
                <w:color w:val="000000"/>
                <w:sz w:val="20"/>
              </w:rPr>
            </w:pPr>
            <w:r w:rsidRPr="00105B7A">
              <w:rPr>
                <w:bCs/>
                <w:sz w:val="20"/>
              </w:rPr>
              <w:t>Abcam REF 8227</w:t>
            </w:r>
          </w:p>
        </w:tc>
      </w:tr>
      <w:tr w:rsidR="00C85902" w:rsidRPr="000D27A3" w14:paraId="5E5B6190" w14:textId="77777777" w:rsidTr="00105B7A">
        <w:tc>
          <w:tcPr>
            <w:tcW w:w="850" w:type="dxa"/>
          </w:tcPr>
          <w:p w14:paraId="0FAE7374" w14:textId="77777777" w:rsidR="00C85902" w:rsidRPr="00105B7A" w:rsidRDefault="00C85902" w:rsidP="00105B7A">
            <w:pPr>
              <w:spacing w:line="240" w:lineRule="auto"/>
              <w:rPr>
                <w:rFonts w:cs="Arial"/>
                <w:color w:val="000000"/>
                <w:sz w:val="20"/>
              </w:rPr>
            </w:pPr>
            <w:r w:rsidRPr="00105B7A">
              <w:rPr>
                <w:rFonts w:cs="Arial"/>
                <w:color w:val="000000"/>
                <w:sz w:val="20"/>
              </w:rPr>
              <w:t>1:2000</w:t>
            </w:r>
          </w:p>
        </w:tc>
        <w:tc>
          <w:tcPr>
            <w:tcW w:w="4361" w:type="dxa"/>
          </w:tcPr>
          <w:p w14:paraId="328FEE00" w14:textId="77777777" w:rsidR="00C85902" w:rsidRPr="00105B7A" w:rsidRDefault="00C85902" w:rsidP="00105B7A">
            <w:pPr>
              <w:spacing w:line="240" w:lineRule="auto"/>
              <w:rPr>
                <w:rFonts w:cs="Arial"/>
                <w:color w:val="000000"/>
                <w:sz w:val="20"/>
                <w:lang w:val="en-GB"/>
              </w:rPr>
            </w:pPr>
            <w:r w:rsidRPr="00105B7A">
              <w:rPr>
                <w:sz w:val="20"/>
                <w:lang w:val="en-GB"/>
              </w:rPr>
              <w:t>Goat Anti-Rabbit Immunoglobulins/HRP</w:t>
            </w:r>
          </w:p>
        </w:tc>
        <w:tc>
          <w:tcPr>
            <w:tcW w:w="3509" w:type="dxa"/>
          </w:tcPr>
          <w:p w14:paraId="56AA4D11" w14:textId="77777777" w:rsidR="00C85902" w:rsidRPr="00105B7A" w:rsidRDefault="00C85902" w:rsidP="002B6705">
            <w:pPr>
              <w:spacing w:line="240" w:lineRule="auto"/>
              <w:jc w:val="center"/>
              <w:rPr>
                <w:rFonts w:cs="Arial"/>
                <w:color w:val="000000"/>
                <w:sz w:val="20"/>
                <w:lang w:val="en-GB"/>
              </w:rPr>
            </w:pPr>
            <w:r w:rsidRPr="00105B7A">
              <w:rPr>
                <w:bCs/>
                <w:sz w:val="20"/>
              </w:rPr>
              <w:t>Dako REF P0448</w:t>
            </w:r>
          </w:p>
        </w:tc>
      </w:tr>
      <w:tr w:rsidR="00C85902" w14:paraId="1006F775" w14:textId="77777777" w:rsidTr="00105B7A">
        <w:tc>
          <w:tcPr>
            <w:tcW w:w="850" w:type="dxa"/>
          </w:tcPr>
          <w:p w14:paraId="72BAA9BA" w14:textId="77777777" w:rsidR="00C85902" w:rsidRPr="00105B7A" w:rsidRDefault="00C85902" w:rsidP="00105B7A">
            <w:pPr>
              <w:spacing w:line="240" w:lineRule="auto"/>
              <w:rPr>
                <w:rFonts w:cs="Arial"/>
                <w:color w:val="000000"/>
                <w:sz w:val="20"/>
                <w:lang w:val="en-GB"/>
              </w:rPr>
            </w:pPr>
          </w:p>
        </w:tc>
        <w:tc>
          <w:tcPr>
            <w:tcW w:w="4361" w:type="dxa"/>
          </w:tcPr>
          <w:p w14:paraId="7E0E2B4B" w14:textId="77777777" w:rsidR="00C85902" w:rsidRPr="00105B7A" w:rsidRDefault="00C85902" w:rsidP="00105B7A">
            <w:pPr>
              <w:spacing w:line="240" w:lineRule="auto"/>
              <w:rPr>
                <w:rFonts w:cs="Arial"/>
                <w:color w:val="000000"/>
                <w:sz w:val="20"/>
              </w:rPr>
            </w:pPr>
            <w:r w:rsidRPr="00105B7A">
              <w:rPr>
                <w:rFonts w:cs="Arial"/>
                <w:color w:val="000000"/>
                <w:sz w:val="20"/>
              </w:rPr>
              <w:t>PBS</w:t>
            </w:r>
          </w:p>
        </w:tc>
        <w:tc>
          <w:tcPr>
            <w:tcW w:w="3509" w:type="dxa"/>
            <w:vMerge w:val="restart"/>
          </w:tcPr>
          <w:p w14:paraId="009FDDA7" w14:textId="7B640D4E" w:rsidR="00C85902" w:rsidRPr="00105B7A" w:rsidRDefault="00C85902" w:rsidP="002B6705">
            <w:pPr>
              <w:spacing w:line="240" w:lineRule="auto"/>
              <w:jc w:val="center"/>
              <w:rPr>
                <w:rFonts w:cs="Arial"/>
                <w:color w:val="000000"/>
                <w:sz w:val="20"/>
              </w:rPr>
            </w:pPr>
            <w:r w:rsidRPr="00105B7A">
              <w:rPr>
                <w:sz w:val="20"/>
              </w:rPr>
              <w:t xml:space="preserve">(siehe </w:t>
            </w:r>
            <w:r w:rsidRPr="00105B7A">
              <w:rPr>
                <w:sz w:val="20"/>
              </w:rPr>
              <w:fldChar w:fldCharType="begin"/>
            </w:r>
            <w:r w:rsidRPr="00105B7A">
              <w:rPr>
                <w:sz w:val="20"/>
              </w:rPr>
              <w:instrText xml:space="preserve"> REF _Ref120298307 \h  \* MERGEFORMAT </w:instrText>
            </w:r>
            <w:r w:rsidRPr="00105B7A">
              <w:rPr>
                <w:sz w:val="20"/>
              </w:rPr>
            </w:r>
            <w:r w:rsidRPr="00105B7A">
              <w:rPr>
                <w:sz w:val="20"/>
              </w:rPr>
              <w:fldChar w:fldCharType="separate"/>
            </w:r>
            <w:r w:rsidR="00791554" w:rsidRPr="00791554">
              <w:rPr>
                <w:sz w:val="20"/>
              </w:rPr>
              <w:t xml:space="preserve">Tabelle </w:t>
            </w:r>
            <w:r w:rsidR="00791554" w:rsidRPr="00791554">
              <w:rPr>
                <w:noProof/>
                <w:sz w:val="20"/>
              </w:rPr>
              <w:t>18</w:t>
            </w:r>
            <w:r w:rsidRPr="00105B7A">
              <w:rPr>
                <w:sz w:val="20"/>
              </w:rPr>
              <w:fldChar w:fldCharType="end"/>
            </w:r>
            <w:r w:rsidRPr="00105B7A">
              <w:rPr>
                <w:sz w:val="20"/>
              </w:rPr>
              <w:t>)</w:t>
            </w:r>
          </w:p>
        </w:tc>
      </w:tr>
      <w:tr w:rsidR="00C85902" w14:paraId="0CAB5371" w14:textId="77777777" w:rsidTr="00105B7A">
        <w:tc>
          <w:tcPr>
            <w:tcW w:w="850" w:type="dxa"/>
          </w:tcPr>
          <w:p w14:paraId="76500849" w14:textId="77777777" w:rsidR="00C85902" w:rsidRDefault="00C85902" w:rsidP="00105B7A">
            <w:pPr>
              <w:spacing w:line="240" w:lineRule="auto"/>
              <w:rPr>
                <w:rFonts w:cs="Arial"/>
                <w:color w:val="000000"/>
                <w:szCs w:val="24"/>
              </w:rPr>
            </w:pPr>
          </w:p>
        </w:tc>
        <w:tc>
          <w:tcPr>
            <w:tcW w:w="4361" w:type="dxa"/>
          </w:tcPr>
          <w:p w14:paraId="775ADA7B" w14:textId="77777777" w:rsidR="00C85902" w:rsidRDefault="00C85902" w:rsidP="00105B7A">
            <w:pPr>
              <w:spacing w:line="240" w:lineRule="auto"/>
              <w:rPr>
                <w:rFonts w:cs="Arial"/>
                <w:color w:val="000000"/>
                <w:szCs w:val="24"/>
              </w:rPr>
            </w:pPr>
            <w:r>
              <w:rPr>
                <w:rFonts w:cs="Arial"/>
                <w:color w:val="000000"/>
                <w:szCs w:val="24"/>
              </w:rPr>
              <w:t>PBS-T</w:t>
            </w:r>
          </w:p>
        </w:tc>
        <w:tc>
          <w:tcPr>
            <w:tcW w:w="3509" w:type="dxa"/>
            <w:vMerge/>
          </w:tcPr>
          <w:p w14:paraId="737C8FF3" w14:textId="77777777" w:rsidR="00C85902" w:rsidRDefault="00C85902" w:rsidP="00F16E98">
            <w:pPr>
              <w:keepNext/>
              <w:rPr>
                <w:rFonts w:cs="Arial"/>
                <w:color w:val="000000"/>
                <w:szCs w:val="24"/>
              </w:rPr>
            </w:pPr>
          </w:p>
        </w:tc>
      </w:tr>
    </w:tbl>
    <w:p w14:paraId="23ACDAC3" w14:textId="77777777" w:rsidR="00C85902" w:rsidRDefault="00C85902" w:rsidP="00F16E98">
      <w:pPr>
        <w:pStyle w:val="Beschriftung"/>
      </w:pPr>
    </w:p>
    <w:p w14:paraId="395133F8" w14:textId="703557B8" w:rsidR="00C85902" w:rsidRPr="00F16E98" w:rsidRDefault="00C85902" w:rsidP="0015054B">
      <w:r>
        <w:t xml:space="preserve">Um die Expression des Zielproteins CD276 messen und die Daten einer Messung mit denen anderer Messungen vergleichen zu können, wurde die Expression von ß-Aktin (siehe </w:t>
      </w:r>
      <w:r>
        <w:fldChar w:fldCharType="begin"/>
      </w:r>
      <w:r>
        <w:instrText xml:space="preserve"> REF _Ref120298867 \h </w:instrText>
      </w:r>
      <w:r>
        <w:fldChar w:fldCharType="separate"/>
      </w:r>
      <w:r w:rsidR="00791554">
        <w:t xml:space="preserve">Tabelle </w:t>
      </w:r>
      <w:r w:rsidR="00791554">
        <w:rPr>
          <w:noProof/>
        </w:rPr>
        <w:t>20</w:t>
      </w:r>
      <w:r>
        <w:fldChar w:fldCharType="end"/>
      </w:r>
      <w:r>
        <w:t>) als Housekeeping Protein mittels Antikörper dargestellt. Hierfür wurden die Membranen mit einer Pinzette erneut in das lichtgeschützte Behältnis überführt. Dann wurde mit einer Pipette der Kaninchen anti-ß-Aktin Antikörper im Verhältnis 1:1000 mit 5</w:t>
      </w:r>
      <w:r w:rsidRPr="004620B2">
        <w:rPr>
          <w:w w:val="50"/>
        </w:rPr>
        <w:t> </w:t>
      </w:r>
      <w:r>
        <w:t>% Milchpulver PBS gemischt und 10</w:t>
      </w:r>
      <w:r w:rsidRPr="004620B2">
        <w:rPr>
          <w:w w:val="50"/>
        </w:rPr>
        <w:t> </w:t>
      </w:r>
      <w:r>
        <w:t xml:space="preserve">ml dieser Lösung erneut auf die Membranen gegeben, und wie für CD276 Detektion beschrieben inkubiert. Die Färbung mit dem Zweitantikörper Ziege anti-Hase HRP (mit einer Verdünnung von 1:2000 in Milchpulver-PBS) sowie die Detektion erfolgten wie oben beschrieben (siehe </w:t>
      </w:r>
      <w:r>
        <w:fldChar w:fldCharType="begin"/>
      </w:r>
      <w:r>
        <w:instrText xml:space="preserve"> REF _Ref68542561 \r \h </w:instrText>
      </w:r>
      <w:r>
        <w:fldChar w:fldCharType="separate"/>
      </w:r>
      <w:r w:rsidR="00791554">
        <w:t>2.5.4</w:t>
      </w:r>
      <w:r>
        <w:fldChar w:fldCharType="end"/>
      </w:r>
      <w:r>
        <w:t>).</w:t>
      </w:r>
    </w:p>
    <w:p w14:paraId="7B4395B8" w14:textId="77777777" w:rsidR="00C85902" w:rsidRPr="0095175C" w:rsidRDefault="00C85902" w:rsidP="0001185F">
      <w:pPr>
        <w:pStyle w:val="berschrift2"/>
      </w:pPr>
      <w:bookmarkStart w:id="124" w:name="_Ref84575097"/>
      <w:bookmarkStart w:id="125" w:name="_Ref84575113"/>
      <w:bookmarkStart w:id="126" w:name="_Toc121158668"/>
      <w:r w:rsidRPr="0095175C">
        <w:t>Durchfluss</w:t>
      </w:r>
      <w:r>
        <w:t>z</w:t>
      </w:r>
      <w:r w:rsidRPr="0095175C">
        <w:t>ytometrie</w:t>
      </w:r>
      <w:bookmarkEnd w:id="124"/>
      <w:bookmarkEnd w:id="125"/>
      <w:bookmarkEnd w:id="126"/>
    </w:p>
    <w:p w14:paraId="6AD3B1DF" w14:textId="7DBA1F00" w:rsidR="00C85902" w:rsidRPr="00EB4863" w:rsidRDefault="00C85902" w:rsidP="00EB4863">
      <w:pPr>
        <w:rPr>
          <w:rFonts w:cs="Arial"/>
          <w:color w:val="000000"/>
          <w:szCs w:val="24"/>
        </w:rPr>
      </w:pPr>
      <w:r>
        <w:rPr>
          <w:rFonts w:cs="Arial"/>
          <w:color w:val="000000"/>
          <w:szCs w:val="24"/>
        </w:rPr>
        <w:t xml:space="preserve">Nach vier Wochen der Expansion von infizierten Zellen und den gesunden Kontrollen wurde eine Durchflusszytometrie durchgeführt, um die Expression von CD276 auf der Oberfläche zu messen. Das hierfür genutzte Material findet sich in </w:t>
      </w:r>
      <w:r>
        <w:rPr>
          <w:rFonts w:cs="Arial"/>
          <w:color w:val="000000"/>
          <w:szCs w:val="24"/>
        </w:rPr>
        <w:fldChar w:fldCharType="begin"/>
      </w:r>
      <w:r>
        <w:rPr>
          <w:rFonts w:cs="Arial"/>
          <w:color w:val="000000"/>
          <w:szCs w:val="24"/>
        </w:rPr>
        <w:instrText xml:space="preserve"> REF _Ref120299015 \h </w:instrText>
      </w:r>
      <w:r>
        <w:rPr>
          <w:rFonts w:cs="Arial"/>
          <w:color w:val="000000"/>
          <w:szCs w:val="24"/>
        </w:rPr>
      </w:r>
      <w:r>
        <w:rPr>
          <w:rFonts w:cs="Arial"/>
          <w:color w:val="000000"/>
          <w:szCs w:val="24"/>
        </w:rPr>
        <w:fldChar w:fldCharType="separate"/>
      </w:r>
      <w:r w:rsidR="00791554">
        <w:t xml:space="preserve">Tabelle </w:t>
      </w:r>
      <w:r w:rsidR="00791554">
        <w:rPr>
          <w:noProof/>
        </w:rPr>
        <w:t>21</w:t>
      </w:r>
      <w:r>
        <w:rPr>
          <w:rFonts w:cs="Arial"/>
          <w:color w:val="000000"/>
          <w:szCs w:val="24"/>
        </w:rPr>
        <w:fldChar w:fldCharType="end"/>
      </w:r>
      <w:r>
        <w:rPr>
          <w:rFonts w:cs="Arial"/>
          <w:color w:val="000000"/>
          <w:szCs w:val="24"/>
        </w:rPr>
        <w:t xml:space="preserve">. </w:t>
      </w:r>
    </w:p>
    <w:p w14:paraId="565BA5EE" w14:textId="080C3677" w:rsidR="00C85902" w:rsidRPr="00BC3D3B" w:rsidRDefault="00C85902" w:rsidP="00F45962">
      <w:pPr>
        <w:pStyle w:val="Beschriftung"/>
        <w:keepNext/>
        <w:rPr>
          <w:vanish/>
          <w:specVanish/>
        </w:rPr>
      </w:pPr>
      <w:bookmarkStart w:id="127" w:name="_Ref120299015"/>
      <w:bookmarkStart w:id="128" w:name="_Toc120649863"/>
      <w:r>
        <w:t xml:space="preserve">Tabelle </w:t>
      </w:r>
      <w:r>
        <w:fldChar w:fldCharType="begin"/>
      </w:r>
      <w:r>
        <w:instrText xml:space="preserve"> SEQ Tabelle \* ARABIC </w:instrText>
      </w:r>
      <w:r>
        <w:fldChar w:fldCharType="separate"/>
      </w:r>
      <w:r w:rsidR="00791554">
        <w:rPr>
          <w:noProof/>
        </w:rPr>
        <w:t>21</w:t>
      </w:r>
      <w:r>
        <w:rPr>
          <w:noProof/>
        </w:rPr>
        <w:fldChar w:fldCharType="end"/>
      </w:r>
      <w:bookmarkEnd w:id="127"/>
      <w:r>
        <w:t xml:space="preserve"> </w:t>
      </w:r>
      <w:r w:rsidRPr="004B7F42">
        <w:t>Material Durchflusszytometrie</w:t>
      </w:r>
      <w:bookmarkEnd w:id="128"/>
      <w:r>
        <w:t xml:space="preserve"> </w:t>
      </w:r>
    </w:p>
    <w:p w14:paraId="14F98749" w14:textId="77777777" w:rsidR="00C85902" w:rsidRDefault="00C85902" w:rsidP="00F45962">
      <w:pPr>
        <w:pStyle w:val="Beschriftung"/>
        <w:keepNext/>
      </w:pPr>
      <w:r>
        <w:t xml:space="preserve"> </w:t>
      </w:r>
      <w:r>
        <w:br/>
        <w:t xml:space="preserve">In dieser Tabelle sind die Mengen der Substanzen inklusive der Hersteller aufgeführt, welche für die Durchführung der Durchflusszytometrie benötigt werden. </w:t>
      </w:r>
    </w:p>
    <w:tbl>
      <w:tblPr>
        <w:tblStyle w:val="Tabellenraster"/>
        <w:tblW w:w="0" w:type="auto"/>
        <w:tblLook w:val="04A0" w:firstRow="1" w:lastRow="0" w:firstColumn="1" w:lastColumn="0" w:noHBand="0" w:noVBand="1"/>
      </w:tblPr>
      <w:tblGrid>
        <w:gridCol w:w="2525"/>
        <w:gridCol w:w="3142"/>
        <w:gridCol w:w="2827"/>
      </w:tblGrid>
      <w:tr w:rsidR="00C85902" w14:paraId="5D18F61E" w14:textId="77777777" w:rsidTr="002904A8">
        <w:tc>
          <w:tcPr>
            <w:tcW w:w="2540" w:type="dxa"/>
            <w:shd w:val="clear" w:color="auto" w:fill="E7E6E6" w:themeFill="background2"/>
          </w:tcPr>
          <w:p w14:paraId="43C7BD9B" w14:textId="77777777" w:rsidR="00C85902" w:rsidRPr="00105B7A" w:rsidRDefault="00C85902" w:rsidP="00105B7A">
            <w:pPr>
              <w:spacing w:line="240" w:lineRule="auto"/>
              <w:jc w:val="center"/>
              <w:rPr>
                <w:rFonts w:cs="Arial"/>
                <w:b/>
                <w:bCs/>
                <w:color w:val="000000"/>
                <w:sz w:val="20"/>
                <w:szCs w:val="20"/>
              </w:rPr>
            </w:pPr>
            <w:r w:rsidRPr="00105B7A">
              <w:rPr>
                <w:rFonts w:cs="Arial"/>
                <w:b/>
                <w:bCs/>
                <w:color w:val="000000"/>
                <w:sz w:val="20"/>
                <w:szCs w:val="20"/>
              </w:rPr>
              <w:t>Menge</w:t>
            </w:r>
          </w:p>
        </w:tc>
        <w:tc>
          <w:tcPr>
            <w:tcW w:w="3238" w:type="dxa"/>
            <w:shd w:val="clear" w:color="auto" w:fill="E7E6E6" w:themeFill="background2"/>
          </w:tcPr>
          <w:p w14:paraId="60C1C517" w14:textId="77777777" w:rsidR="00C85902" w:rsidRPr="00105B7A" w:rsidRDefault="00C85902" w:rsidP="00105B7A">
            <w:pPr>
              <w:spacing w:line="240" w:lineRule="auto"/>
              <w:jc w:val="center"/>
              <w:rPr>
                <w:rFonts w:cs="Arial"/>
                <w:b/>
                <w:bCs/>
                <w:color w:val="000000"/>
                <w:sz w:val="20"/>
                <w:szCs w:val="20"/>
              </w:rPr>
            </w:pPr>
            <w:r w:rsidRPr="00105B7A">
              <w:rPr>
                <w:rFonts w:cs="Arial"/>
                <w:b/>
                <w:bCs/>
                <w:color w:val="000000"/>
                <w:sz w:val="20"/>
                <w:szCs w:val="20"/>
              </w:rPr>
              <w:t>Name</w:t>
            </w:r>
          </w:p>
        </w:tc>
        <w:tc>
          <w:tcPr>
            <w:tcW w:w="2942" w:type="dxa"/>
            <w:shd w:val="clear" w:color="auto" w:fill="E7E6E6" w:themeFill="background2"/>
          </w:tcPr>
          <w:p w14:paraId="04B2DEC6" w14:textId="77777777" w:rsidR="00C85902" w:rsidRPr="00105B7A" w:rsidRDefault="00C85902" w:rsidP="00105B7A">
            <w:pPr>
              <w:spacing w:line="240" w:lineRule="auto"/>
              <w:jc w:val="center"/>
              <w:rPr>
                <w:rFonts w:cs="Arial"/>
                <w:b/>
                <w:bCs/>
                <w:color w:val="000000"/>
                <w:sz w:val="20"/>
                <w:szCs w:val="20"/>
              </w:rPr>
            </w:pPr>
            <w:r w:rsidRPr="00105B7A">
              <w:rPr>
                <w:rFonts w:cs="Arial"/>
                <w:b/>
                <w:bCs/>
                <w:color w:val="000000"/>
                <w:sz w:val="20"/>
                <w:szCs w:val="20"/>
              </w:rPr>
              <w:t>Hersteller</w:t>
            </w:r>
          </w:p>
        </w:tc>
      </w:tr>
      <w:tr w:rsidR="00C85902" w14:paraId="0BC2F155" w14:textId="77777777" w:rsidTr="005F0A70">
        <w:tc>
          <w:tcPr>
            <w:tcW w:w="2540" w:type="dxa"/>
          </w:tcPr>
          <w:p w14:paraId="21A6D2D6" w14:textId="77777777" w:rsidR="00C85902" w:rsidRPr="00105B7A" w:rsidRDefault="00C85902" w:rsidP="00105B7A">
            <w:pPr>
              <w:spacing w:line="240" w:lineRule="auto"/>
              <w:rPr>
                <w:rFonts w:cs="Arial"/>
                <w:color w:val="000000"/>
                <w:sz w:val="20"/>
                <w:szCs w:val="20"/>
              </w:rPr>
            </w:pPr>
          </w:p>
        </w:tc>
        <w:tc>
          <w:tcPr>
            <w:tcW w:w="3238" w:type="dxa"/>
          </w:tcPr>
          <w:p w14:paraId="17F331D6" w14:textId="77777777" w:rsidR="00C85902" w:rsidRPr="00105B7A" w:rsidRDefault="00C85902" w:rsidP="00105B7A">
            <w:pPr>
              <w:spacing w:line="240" w:lineRule="auto"/>
              <w:rPr>
                <w:sz w:val="20"/>
                <w:szCs w:val="20"/>
              </w:rPr>
            </w:pPr>
            <w:r w:rsidRPr="00105B7A">
              <w:rPr>
                <w:rFonts w:cs="Arial"/>
                <w:b/>
                <w:bCs/>
                <w:color w:val="000000"/>
                <w:sz w:val="20"/>
                <w:szCs w:val="20"/>
              </w:rPr>
              <w:t>Dulbelcco’s Phosphate Buffered Saline</w:t>
            </w:r>
            <w:r w:rsidRPr="00105B7A">
              <w:rPr>
                <w:rFonts w:cs="Arial"/>
                <w:color w:val="000000"/>
                <w:sz w:val="20"/>
                <w:szCs w:val="20"/>
              </w:rPr>
              <w:t xml:space="preserve"> (=PBS) im Wasserbad auf 37</w:t>
            </w:r>
            <w:r w:rsidRPr="00105B7A">
              <w:rPr>
                <w:w w:val="50"/>
                <w:sz w:val="20"/>
                <w:szCs w:val="20"/>
              </w:rPr>
              <w:t> </w:t>
            </w:r>
            <w:r w:rsidRPr="00105B7A">
              <w:rPr>
                <w:rFonts w:cs="Arial"/>
                <w:color w:val="000000"/>
                <w:sz w:val="20"/>
                <w:szCs w:val="20"/>
              </w:rPr>
              <w:t>°C erwärmt</w:t>
            </w:r>
          </w:p>
        </w:tc>
        <w:tc>
          <w:tcPr>
            <w:tcW w:w="2942" w:type="dxa"/>
          </w:tcPr>
          <w:p w14:paraId="67CBAD44" w14:textId="77777777" w:rsidR="00C85902" w:rsidRPr="00105B7A" w:rsidRDefault="00C85902" w:rsidP="005F0A70">
            <w:pPr>
              <w:spacing w:line="240" w:lineRule="auto"/>
              <w:jc w:val="center"/>
              <w:rPr>
                <w:rFonts w:cs="Arial"/>
                <w:color w:val="000000"/>
                <w:sz w:val="20"/>
                <w:szCs w:val="20"/>
              </w:rPr>
            </w:pPr>
            <w:r w:rsidRPr="00105B7A">
              <w:rPr>
                <w:rFonts w:cs="Arial"/>
                <w:color w:val="000000"/>
                <w:sz w:val="20"/>
                <w:szCs w:val="20"/>
              </w:rPr>
              <w:t>Sigma REF D8537</w:t>
            </w:r>
          </w:p>
        </w:tc>
      </w:tr>
      <w:tr w:rsidR="00C85902" w14:paraId="2677CC13" w14:textId="77777777" w:rsidTr="005F0A70">
        <w:tc>
          <w:tcPr>
            <w:tcW w:w="2540" w:type="dxa"/>
          </w:tcPr>
          <w:p w14:paraId="50B1055F" w14:textId="77777777" w:rsidR="00C85902" w:rsidRPr="00105B7A" w:rsidRDefault="00C85902" w:rsidP="00105B7A">
            <w:pPr>
              <w:spacing w:line="240" w:lineRule="auto"/>
              <w:rPr>
                <w:rFonts w:cs="Arial"/>
                <w:color w:val="000000"/>
                <w:sz w:val="20"/>
                <w:szCs w:val="20"/>
              </w:rPr>
            </w:pPr>
            <w:r w:rsidRPr="00105B7A">
              <w:rPr>
                <w:rFonts w:cs="Arial"/>
                <w:color w:val="000000"/>
                <w:sz w:val="20"/>
                <w:szCs w:val="20"/>
              </w:rPr>
              <w:t>3</w:t>
            </w:r>
            <w:r w:rsidRPr="00105B7A">
              <w:rPr>
                <w:w w:val="50"/>
                <w:sz w:val="20"/>
                <w:szCs w:val="20"/>
              </w:rPr>
              <w:t> </w:t>
            </w:r>
            <w:r w:rsidRPr="00105B7A">
              <w:rPr>
                <w:rFonts w:cs="Arial"/>
                <w:color w:val="000000"/>
                <w:sz w:val="20"/>
                <w:szCs w:val="20"/>
              </w:rPr>
              <w:t>ml pro Probe</w:t>
            </w:r>
          </w:p>
        </w:tc>
        <w:tc>
          <w:tcPr>
            <w:tcW w:w="3238" w:type="dxa"/>
          </w:tcPr>
          <w:p w14:paraId="3227EFE5" w14:textId="77777777" w:rsidR="00C85902" w:rsidRPr="00105B7A" w:rsidRDefault="00C85902" w:rsidP="00105B7A">
            <w:pPr>
              <w:spacing w:line="240" w:lineRule="auto"/>
              <w:rPr>
                <w:sz w:val="20"/>
                <w:szCs w:val="20"/>
              </w:rPr>
            </w:pPr>
            <w:r w:rsidRPr="00105B7A">
              <w:rPr>
                <w:sz w:val="20"/>
                <w:szCs w:val="20"/>
              </w:rPr>
              <w:t>Accutase im Wasserbad auf 37</w:t>
            </w:r>
            <w:r w:rsidRPr="00105B7A">
              <w:rPr>
                <w:w w:val="50"/>
                <w:sz w:val="20"/>
                <w:szCs w:val="20"/>
              </w:rPr>
              <w:t> </w:t>
            </w:r>
            <w:r w:rsidRPr="00105B7A">
              <w:rPr>
                <w:sz w:val="20"/>
                <w:szCs w:val="20"/>
              </w:rPr>
              <w:t>°C erwärmt</w:t>
            </w:r>
          </w:p>
        </w:tc>
        <w:tc>
          <w:tcPr>
            <w:tcW w:w="2942" w:type="dxa"/>
          </w:tcPr>
          <w:p w14:paraId="412AEAA0" w14:textId="77777777" w:rsidR="00C85902" w:rsidRPr="00105B7A" w:rsidRDefault="00C85902" w:rsidP="005F0A70">
            <w:pPr>
              <w:spacing w:line="240" w:lineRule="auto"/>
              <w:jc w:val="center"/>
              <w:rPr>
                <w:rFonts w:cs="Arial"/>
                <w:color w:val="000000"/>
                <w:sz w:val="20"/>
                <w:szCs w:val="20"/>
              </w:rPr>
            </w:pPr>
            <w:r w:rsidRPr="00105B7A">
              <w:rPr>
                <w:rFonts w:cs="Arial"/>
                <w:sz w:val="20"/>
                <w:szCs w:val="20"/>
              </w:rPr>
              <w:t>Sigma REF A6964-100ML</w:t>
            </w:r>
          </w:p>
        </w:tc>
      </w:tr>
      <w:tr w:rsidR="00C85902" w14:paraId="70E906A8" w14:textId="77777777" w:rsidTr="00F45962">
        <w:tc>
          <w:tcPr>
            <w:tcW w:w="2540" w:type="dxa"/>
          </w:tcPr>
          <w:p w14:paraId="5CDCC779" w14:textId="77777777" w:rsidR="00C85902" w:rsidRPr="00105B7A" w:rsidRDefault="00C85902" w:rsidP="00105B7A">
            <w:pPr>
              <w:spacing w:line="240" w:lineRule="auto"/>
              <w:rPr>
                <w:rFonts w:cs="Arial"/>
                <w:color w:val="000000"/>
                <w:sz w:val="20"/>
                <w:szCs w:val="20"/>
              </w:rPr>
            </w:pPr>
          </w:p>
        </w:tc>
        <w:tc>
          <w:tcPr>
            <w:tcW w:w="6180" w:type="dxa"/>
            <w:gridSpan w:val="2"/>
          </w:tcPr>
          <w:p w14:paraId="1CDD4D3E" w14:textId="49E0EA90" w:rsidR="00C85902" w:rsidRPr="00105B7A" w:rsidRDefault="00C85902" w:rsidP="005F0A70">
            <w:pPr>
              <w:spacing w:line="240" w:lineRule="auto"/>
              <w:rPr>
                <w:rFonts w:cs="Arial"/>
                <w:color w:val="000000"/>
                <w:sz w:val="20"/>
                <w:szCs w:val="20"/>
              </w:rPr>
            </w:pPr>
            <w:r w:rsidRPr="00105B7A">
              <w:rPr>
                <w:sz w:val="20"/>
                <w:szCs w:val="20"/>
                <w:lang w:val="en-GB"/>
              </w:rPr>
              <w:t xml:space="preserve">Zelllinienmedium (siehe </w:t>
            </w:r>
            <w:r w:rsidRPr="00105B7A">
              <w:rPr>
                <w:sz w:val="20"/>
                <w:szCs w:val="20"/>
                <w:lang w:val="en-GB"/>
              </w:rPr>
              <w:fldChar w:fldCharType="begin"/>
            </w:r>
            <w:r w:rsidRPr="00105B7A">
              <w:rPr>
                <w:sz w:val="20"/>
                <w:szCs w:val="20"/>
                <w:lang w:val="en-GB"/>
              </w:rPr>
              <w:instrText xml:space="preserve"> REF _Ref67390509 \r \h  \* MERGEFORMAT </w:instrText>
            </w:r>
            <w:r w:rsidRPr="00105B7A">
              <w:rPr>
                <w:sz w:val="20"/>
                <w:szCs w:val="20"/>
                <w:lang w:val="en-GB"/>
              </w:rPr>
            </w:r>
            <w:r w:rsidRPr="00105B7A">
              <w:rPr>
                <w:sz w:val="20"/>
                <w:szCs w:val="20"/>
                <w:lang w:val="en-GB"/>
              </w:rPr>
              <w:fldChar w:fldCharType="separate"/>
            </w:r>
            <w:r w:rsidR="00791554">
              <w:rPr>
                <w:sz w:val="20"/>
                <w:szCs w:val="20"/>
                <w:lang w:val="en-GB"/>
              </w:rPr>
              <w:t>2.3.1</w:t>
            </w:r>
            <w:r w:rsidRPr="00105B7A">
              <w:rPr>
                <w:sz w:val="20"/>
                <w:szCs w:val="20"/>
                <w:lang w:val="en-GB"/>
              </w:rPr>
              <w:fldChar w:fldCharType="end"/>
            </w:r>
            <w:r w:rsidRPr="00105B7A">
              <w:rPr>
                <w:sz w:val="20"/>
                <w:szCs w:val="20"/>
                <w:lang w:val="en-GB"/>
              </w:rPr>
              <w:t xml:space="preserve"> Seite </w:t>
            </w:r>
            <w:r w:rsidRPr="00105B7A">
              <w:rPr>
                <w:sz w:val="20"/>
                <w:szCs w:val="20"/>
                <w:lang w:val="en-GB"/>
              </w:rPr>
              <w:fldChar w:fldCharType="begin"/>
            </w:r>
            <w:r w:rsidRPr="00105B7A">
              <w:rPr>
                <w:sz w:val="20"/>
                <w:szCs w:val="20"/>
                <w:lang w:val="en-GB"/>
              </w:rPr>
              <w:instrText xml:space="preserve"> PAGEREF _Ref67390509 \h </w:instrText>
            </w:r>
            <w:r w:rsidRPr="00105B7A">
              <w:rPr>
                <w:sz w:val="20"/>
                <w:szCs w:val="20"/>
                <w:lang w:val="en-GB"/>
              </w:rPr>
            </w:r>
            <w:r w:rsidRPr="00105B7A">
              <w:rPr>
                <w:sz w:val="20"/>
                <w:szCs w:val="20"/>
                <w:lang w:val="en-GB"/>
              </w:rPr>
              <w:fldChar w:fldCharType="separate"/>
            </w:r>
            <w:r w:rsidR="00791554">
              <w:rPr>
                <w:noProof/>
                <w:sz w:val="20"/>
                <w:szCs w:val="20"/>
                <w:lang w:val="en-GB"/>
              </w:rPr>
              <w:t>34</w:t>
            </w:r>
            <w:r w:rsidRPr="00105B7A">
              <w:rPr>
                <w:sz w:val="20"/>
                <w:szCs w:val="20"/>
                <w:lang w:val="en-GB"/>
              </w:rPr>
              <w:fldChar w:fldCharType="end"/>
            </w:r>
            <w:r w:rsidRPr="00105B7A">
              <w:rPr>
                <w:sz w:val="20"/>
                <w:szCs w:val="20"/>
                <w:lang w:val="en-GB"/>
              </w:rPr>
              <w:t>)</w:t>
            </w:r>
          </w:p>
        </w:tc>
      </w:tr>
      <w:tr w:rsidR="00C85902" w14:paraId="417D33B5" w14:textId="77777777" w:rsidTr="005F0A70">
        <w:tc>
          <w:tcPr>
            <w:tcW w:w="2540" w:type="dxa"/>
          </w:tcPr>
          <w:p w14:paraId="36B151A5" w14:textId="77777777" w:rsidR="00C85902" w:rsidRPr="00105B7A" w:rsidRDefault="00C85902" w:rsidP="00105B7A">
            <w:pPr>
              <w:spacing w:line="240" w:lineRule="auto"/>
              <w:rPr>
                <w:rFonts w:cs="Arial"/>
                <w:color w:val="000000"/>
                <w:sz w:val="20"/>
                <w:szCs w:val="20"/>
              </w:rPr>
            </w:pPr>
            <w:r w:rsidRPr="00105B7A">
              <w:rPr>
                <w:sz w:val="20"/>
                <w:szCs w:val="20"/>
              </w:rPr>
              <w:t>50</w:t>
            </w:r>
            <w:r w:rsidRPr="00105B7A">
              <w:rPr>
                <w:w w:val="50"/>
                <w:sz w:val="20"/>
                <w:szCs w:val="20"/>
              </w:rPr>
              <w:t> </w:t>
            </w:r>
            <w:r w:rsidRPr="00105B7A">
              <w:rPr>
                <w:rFonts w:cs="Arial"/>
                <w:sz w:val="20"/>
                <w:szCs w:val="20"/>
              </w:rPr>
              <w:t>µl</w:t>
            </w:r>
            <w:r w:rsidRPr="00105B7A">
              <w:rPr>
                <w:sz w:val="20"/>
                <w:szCs w:val="20"/>
              </w:rPr>
              <w:t xml:space="preserve"> pro Zentrifugationsröhrchen</w:t>
            </w:r>
          </w:p>
        </w:tc>
        <w:tc>
          <w:tcPr>
            <w:tcW w:w="3238" w:type="dxa"/>
          </w:tcPr>
          <w:p w14:paraId="4B95EF19" w14:textId="77777777" w:rsidR="00C85902" w:rsidRPr="00105B7A" w:rsidRDefault="00C85902" w:rsidP="00105B7A">
            <w:pPr>
              <w:spacing w:line="240" w:lineRule="auto"/>
              <w:rPr>
                <w:sz w:val="20"/>
                <w:szCs w:val="20"/>
              </w:rPr>
            </w:pPr>
            <w:r w:rsidRPr="00105B7A">
              <w:rPr>
                <w:sz w:val="20"/>
                <w:szCs w:val="20"/>
              </w:rPr>
              <w:t>Gamunex Workingsolution (Stammlösung 1:20 mit PBS verdünnt)</w:t>
            </w:r>
          </w:p>
        </w:tc>
        <w:tc>
          <w:tcPr>
            <w:tcW w:w="2942" w:type="dxa"/>
          </w:tcPr>
          <w:p w14:paraId="520268D9" w14:textId="77777777" w:rsidR="00C85902" w:rsidRPr="00105B7A" w:rsidRDefault="00C85902" w:rsidP="005F0A70">
            <w:pPr>
              <w:spacing w:line="240" w:lineRule="auto"/>
              <w:jc w:val="center"/>
              <w:rPr>
                <w:rFonts w:cs="Arial"/>
                <w:color w:val="000000"/>
                <w:sz w:val="20"/>
                <w:szCs w:val="20"/>
              </w:rPr>
            </w:pPr>
            <w:r w:rsidRPr="00105B7A">
              <w:rPr>
                <w:rFonts w:cs="Arial"/>
                <w:color w:val="000000"/>
                <w:sz w:val="20"/>
                <w:szCs w:val="20"/>
              </w:rPr>
              <w:t xml:space="preserve">Grifols Deutschland GmbH </w:t>
            </w:r>
            <w:r w:rsidRPr="00105B7A">
              <w:rPr>
                <w:rFonts w:cs="Arial"/>
                <w:color w:val="000000"/>
                <w:sz w:val="20"/>
                <w:szCs w:val="20"/>
              </w:rPr>
              <w:br/>
              <w:t>REF 3036252</w:t>
            </w:r>
          </w:p>
        </w:tc>
      </w:tr>
      <w:tr w:rsidR="00C85902" w14:paraId="7F4EF5D9" w14:textId="77777777" w:rsidTr="005F0A70">
        <w:tc>
          <w:tcPr>
            <w:tcW w:w="2540" w:type="dxa"/>
          </w:tcPr>
          <w:p w14:paraId="7B358FA6" w14:textId="77777777" w:rsidR="00C85902" w:rsidRPr="00105B7A" w:rsidRDefault="00C85902" w:rsidP="00105B7A">
            <w:pPr>
              <w:spacing w:line="240" w:lineRule="auto"/>
              <w:rPr>
                <w:rFonts w:cs="Arial"/>
                <w:color w:val="000000"/>
                <w:sz w:val="20"/>
                <w:szCs w:val="20"/>
              </w:rPr>
            </w:pPr>
          </w:p>
        </w:tc>
        <w:tc>
          <w:tcPr>
            <w:tcW w:w="3238" w:type="dxa"/>
          </w:tcPr>
          <w:p w14:paraId="50D4DEE5" w14:textId="77777777" w:rsidR="00C85902" w:rsidRPr="00105B7A" w:rsidRDefault="00C85902" w:rsidP="00105B7A">
            <w:pPr>
              <w:spacing w:line="240" w:lineRule="auto"/>
              <w:rPr>
                <w:sz w:val="20"/>
                <w:szCs w:val="20"/>
                <w:lang w:val="en-GB"/>
              </w:rPr>
            </w:pPr>
            <w:r w:rsidRPr="00105B7A">
              <w:rPr>
                <w:b/>
                <w:bCs/>
                <w:sz w:val="20"/>
                <w:szCs w:val="20"/>
                <w:u w:val="single"/>
                <w:lang w:val="en-GB"/>
              </w:rPr>
              <w:t>FACS-Puffer (PFEA)</w:t>
            </w:r>
            <w:r w:rsidRPr="00105B7A">
              <w:rPr>
                <w:sz w:val="20"/>
                <w:szCs w:val="20"/>
                <w:lang w:val="en-GB"/>
              </w:rPr>
              <w:t>:</w:t>
            </w:r>
            <w:r w:rsidRPr="00105B7A">
              <w:rPr>
                <w:sz w:val="20"/>
                <w:szCs w:val="20"/>
                <w:lang w:val="en-GB"/>
              </w:rPr>
              <w:br/>
              <w:t>- 500</w:t>
            </w:r>
            <w:r w:rsidRPr="00105B7A">
              <w:rPr>
                <w:w w:val="50"/>
                <w:sz w:val="20"/>
                <w:szCs w:val="20"/>
                <w:lang w:val="en-GB"/>
              </w:rPr>
              <w:t> </w:t>
            </w:r>
            <w:r w:rsidRPr="00105B7A">
              <w:rPr>
                <w:sz w:val="20"/>
                <w:szCs w:val="20"/>
                <w:lang w:val="en-GB"/>
              </w:rPr>
              <w:t>ml PBS</w:t>
            </w:r>
            <w:r w:rsidRPr="00105B7A">
              <w:rPr>
                <w:sz w:val="20"/>
                <w:szCs w:val="20"/>
                <w:lang w:val="en-GB"/>
              </w:rPr>
              <w:br/>
              <w:t>- 10</w:t>
            </w:r>
            <w:r w:rsidRPr="00105B7A">
              <w:rPr>
                <w:w w:val="50"/>
                <w:sz w:val="20"/>
                <w:szCs w:val="20"/>
                <w:lang w:val="en-GB"/>
              </w:rPr>
              <w:t> </w:t>
            </w:r>
            <w:r w:rsidRPr="00105B7A">
              <w:rPr>
                <w:sz w:val="20"/>
                <w:szCs w:val="20"/>
                <w:lang w:val="en-GB"/>
              </w:rPr>
              <w:t xml:space="preserve">ml </w:t>
            </w:r>
            <w:r w:rsidRPr="002904A8">
              <w:rPr>
                <w:sz w:val="20"/>
                <w:szCs w:val="20"/>
                <w:lang w:val="en-GB"/>
              </w:rPr>
              <w:t>FCS</w:t>
            </w:r>
            <w:r w:rsidRPr="00105B7A">
              <w:rPr>
                <w:sz w:val="20"/>
                <w:szCs w:val="20"/>
                <w:lang w:val="en-GB"/>
              </w:rPr>
              <w:t xml:space="preserve"> </w:t>
            </w:r>
            <w:r w:rsidRPr="00105B7A">
              <w:rPr>
                <w:sz w:val="20"/>
                <w:szCs w:val="20"/>
                <w:lang w:val="en-GB"/>
              </w:rPr>
              <w:br/>
              <w:t>- 1</w:t>
            </w:r>
            <w:r w:rsidRPr="00105B7A">
              <w:rPr>
                <w:w w:val="50"/>
                <w:sz w:val="20"/>
                <w:szCs w:val="20"/>
                <w:lang w:val="en-GB"/>
              </w:rPr>
              <w:t> </w:t>
            </w:r>
            <w:r w:rsidRPr="00105B7A">
              <w:rPr>
                <w:sz w:val="20"/>
                <w:szCs w:val="20"/>
                <w:lang w:val="en-GB"/>
              </w:rPr>
              <w:t>ml Natrium-Azid-Stockösung</w:t>
            </w:r>
            <w:r w:rsidRPr="00105B7A">
              <w:rPr>
                <w:sz w:val="20"/>
                <w:szCs w:val="20"/>
                <w:lang w:val="en-GB"/>
              </w:rPr>
              <w:br/>
              <w:t>- 375</w:t>
            </w:r>
            <w:r w:rsidRPr="00105B7A">
              <w:rPr>
                <w:w w:val="50"/>
                <w:sz w:val="20"/>
                <w:szCs w:val="20"/>
                <w:lang w:val="en-GB"/>
              </w:rPr>
              <w:t> </w:t>
            </w:r>
            <w:r w:rsidRPr="00105B7A">
              <w:rPr>
                <w:sz w:val="20"/>
                <w:szCs w:val="20"/>
                <w:lang w:val="en-GB"/>
              </w:rPr>
              <w:t xml:space="preserve">mg EDTA </w:t>
            </w:r>
          </w:p>
        </w:tc>
        <w:tc>
          <w:tcPr>
            <w:tcW w:w="2942" w:type="dxa"/>
          </w:tcPr>
          <w:p w14:paraId="1177E052" w14:textId="77777777" w:rsidR="00C85902" w:rsidRPr="00105B7A" w:rsidRDefault="00C85902" w:rsidP="005F0A70">
            <w:pPr>
              <w:spacing w:line="240" w:lineRule="auto"/>
              <w:jc w:val="center"/>
              <w:rPr>
                <w:rFonts w:cs="Arial"/>
                <w:color w:val="000000"/>
                <w:sz w:val="20"/>
                <w:szCs w:val="20"/>
              </w:rPr>
            </w:pPr>
          </w:p>
          <w:p w14:paraId="3EE55732" w14:textId="31F0E0CD" w:rsidR="00C85902" w:rsidRPr="00105B7A" w:rsidRDefault="00C85902" w:rsidP="002904A8">
            <w:pPr>
              <w:spacing w:line="240" w:lineRule="auto"/>
              <w:jc w:val="center"/>
              <w:rPr>
                <w:rFonts w:cs="Arial"/>
                <w:color w:val="000000"/>
                <w:sz w:val="20"/>
                <w:szCs w:val="20"/>
              </w:rPr>
            </w:pPr>
            <w:r w:rsidRPr="00105B7A">
              <w:rPr>
                <w:rFonts w:cs="Arial"/>
                <w:color w:val="000000"/>
                <w:sz w:val="20"/>
                <w:szCs w:val="20"/>
              </w:rPr>
              <w:t xml:space="preserve">Siehe </w:t>
            </w:r>
            <w:r w:rsidRPr="00105B7A">
              <w:rPr>
                <w:rFonts w:cs="Arial"/>
                <w:color w:val="000000"/>
                <w:sz w:val="20"/>
                <w:szCs w:val="20"/>
              </w:rPr>
              <w:fldChar w:fldCharType="begin"/>
            </w:r>
            <w:r w:rsidRPr="00105B7A">
              <w:rPr>
                <w:rFonts w:cs="Arial"/>
                <w:color w:val="000000"/>
                <w:sz w:val="20"/>
                <w:szCs w:val="20"/>
              </w:rPr>
              <w:instrText xml:space="preserve"> REF _Ref120298307 \h  \* MERGEFORMAT </w:instrText>
            </w:r>
            <w:r w:rsidRPr="00105B7A">
              <w:rPr>
                <w:rFonts w:cs="Arial"/>
                <w:color w:val="000000"/>
                <w:sz w:val="20"/>
                <w:szCs w:val="20"/>
              </w:rPr>
            </w:r>
            <w:r w:rsidRPr="00105B7A">
              <w:rPr>
                <w:rFonts w:cs="Arial"/>
                <w:color w:val="000000"/>
                <w:sz w:val="20"/>
                <w:szCs w:val="20"/>
              </w:rPr>
              <w:fldChar w:fldCharType="separate"/>
            </w:r>
            <w:r w:rsidR="00791554" w:rsidRPr="00791554">
              <w:rPr>
                <w:sz w:val="20"/>
                <w:szCs w:val="20"/>
              </w:rPr>
              <w:t xml:space="preserve">Tabelle </w:t>
            </w:r>
            <w:r w:rsidR="00791554" w:rsidRPr="00791554">
              <w:rPr>
                <w:noProof/>
                <w:sz w:val="20"/>
                <w:szCs w:val="20"/>
              </w:rPr>
              <w:t>18</w:t>
            </w:r>
            <w:r w:rsidRPr="00105B7A">
              <w:rPr>
                <w:rFonts w:cs="Arial"/>
                <w:color w:val="000000"/>
                <w:sz w:val="20"/>
                <w:szCs w:val="20"/>
              </w:rPr>
              <w:fldChar w:fldCharType="end"/>
            </w:r>
            <w:r>
              <w:rPr>
                <w:rFonts w:cs="Arial"/>
                <w:color w:val="000000"/>
                <w:sz w:val="20"/>
                <w:szCs w:val="20"/>
              </w:rPr>
              <w:br/>
              <w:t>Gibco REF 26140079</w:t>
            </w:r>
            <w:r w:rsidRPr="00105B7A">
              <w:rPr>
                <w:rFonts w:cs="Arial"/>
                <w:color w:val="000000"/>
                <w:sz w:val="20"/>
                <w:szCs w:val="20"/>
              </w:rPr>
              <w:br/>
              <w:t>Gibco REF 11360-039</w:t>
            </w:r>
            <w:r w:rsidRPr="00105B7A">
              <w:rPr>
                <w:rFonts w:cs="Arial"/>
                <w:color w:val="000000"/>
                <w:sz w:val="20"/>
                <w:szCs w:val="20"/>
              </w:rPr>
              <w:br/>
              <w:t>Biochrom REF L2113</w:t>
            </w:r>
          </w:p>
        </w:tc>
      </w:tr>
      <w:tr w:rsidR="00C85902" w14:paraId="763B1690" w14:textId="77777777" w:rsidTr="005F0A70">
        <w:tc>
          <w:tcPr>
            <w:tcW w:w="2540" w:type="dxa"/>
          </w:tcPr>
          <w:p w14:paraId="133A7A20" w14:textId="77777777" w:rsidR="00C85902" w:rsidRPr="00105B7A" w:rsidRDefault="00C85902" w:rsidP="00105B7A">
            <w:pPr>
              <w:spacing w:line="240" w:lineRule="auto"/>
              <w:rPr>
                <w:rFonts w:cs="Arial"/>
                <w:color w:val="000000"/>
                <w:sz w:val="20"/>
                <w:szCs w:val="20"/>
              </w:rPr>
            </w:pPr>
            <w:r w:rsidRPr="00105B7A">
              <w:rPr>
                <w:sz w:val="20"/>
                <w:szCs w:val="20"/>
              </w:rPr>
              <w:t>50</w:t>
            </w:r>
            <w:r w:rsidRPr="00105B7A">
              <w:rPr>
                <w:w w:val="50"/>
                <w:sz w:val="20"/>
                <w:szCs w:val="20"/>
              </w:rPr>
              <w:t> </w:t>
            </w:r>
            <w:r w:rsidRPr="00105B7A">
              <w:rPr>
                <w:rFonts w:cs="Arial"/>
                <w:sz w:val="20"/>
                <w:szCs w:val="20"/>
              </w:rPr>
              <w:t xml:space="preserve">µl </w:t>
            </w:r>
            <w:r w:rsidRPr="00105B7A">
              <w:rPr>
                <w:sz w:val="20"/>
                <w:szCs w:val="20"/>
              </w:rPr>
              <w:t>pro Probe</w:t>
            </w:r>
          </w:p>
        </w:tc>
        <w:tc>
          <w:tcPr>
            <w:tcW w:w="3238" w:type="dxa"/>
          </w:tcPr>
          <w:p w14:paraId="456BCD81" w14:textId="77777777" w:rsidR="00C85902" w:rsidRPr="00105B7A" w:rsidRDefault="00C85902" w:rsidP="00105B7A">
            <w:pPr>
              <w:spacing w:line="240" w:lineRule="auto"/>
              <w:rPr>
                <w:rFonts w:cs="Arial"/>
                <w:color w:val="000000"/>
                <w:sz w:val="20"/>
                <w:szCs w:val="20"/>
              </w:rPr>
            </w:pPr>
            <w:r w:rsidRPr="00105B7A">
              <w:rPr>
                <w:b/>
                <w:bCs/>
                <w:sz w:val="20"/>
                <w:szCs w:val="20"/>
                <w:u w:val="single"/>
              </w:rPr>
              <w:t>Antikörperlösung</w:t>
            </w:r>
            <w:r w:rsidRPr="00105B7A">
              <w:rPr>
                <w:sz w:val="20"/>
                <w:szCs w:val="20"/>
              </w:rPr>
              <w:br/>
              <w:t>- 2,5</w:t>
            </w:r>
            <w:r w:rsidRPr="00105B7A">
              <w:rPr>
                <w:w w:val="50"/>
                <w:sz w:val="20"/>
                <w:szCs w:val="20"/>
              </w:rPr>
              <w:t> </w:t>
            </w:r>
            <w:r w:rsidRPr="00105B7A">
              <w:rPr>
                <w:rFonts w:cs="Arial"/>
                <w:sz w:val="20"/>
                <w:szCs w:val="20"/>
              </w:rPr>
              <w:t xml:space="preserve">µl </w:t>
            </w:r>
            <w:r w:rsidRPr="00105B7A">
              <w:rPr>
                <w:sz w:val="20"/>
                <w:szCs w:val="20"/>
              </w:rPr>
              <w:t>CD276 Antikörper (PE markiert, B7H3,)</w:t>
            </w:r>
            <w:r w:rsidRPr="00105B7A">
              <w:rPr>
                <w:sz w:val="20"/>
                <w:szCs w:val="20"/>
              </w:rPr>
              <w:br/>
              <w:t>-47,5</w:t>
            </w:r>
            <w:r w:rsidRPr="00105B7A">
              <w:rPr>
                <w:w w:val="50"/>
                <w:sz w:val="20"/>
                <w:szCs w:val="20"/>
              </w:rPr>
              <w:t> </w:t>
            </w:r>
            <w:r w:rsidRPr="00105B7A">
              <w:rPr>
                <w:rFonts w:cs="Arial"/>
                <w:sz w:val="20"/>
                <w:szCs w:val="20"/>
              </w:rPr>
              <w:t>µl PFEA</w:t>
            </w:r>
          </w:p>
        </w:tc>
        <w:tc>
          <w:tcPr>
            <w:tcW w:w="2942" w:type="dxa"/>
          </w:tcPr>
          <w:p w14:paraId="53B7AA53" w14:textId="77777777" w:rsidR="00C85902" w:rsidRPr="00105B7A" w:rsidRDefault="00C85902" w:rsidP="005F0A70">
            <w:pPr>
              <w:spacing w:line="240" w:lineRule="auto"/>
              <w:jc w:val="center"/>
              <w:rPr>
                <w:sz w:val="20"/>
                <w:szCs w:val="20"/>
              </w:rPr>
            </w:pPr>
          </w:p>
          <w:p w14:paraId="480E1189" w14:textId="77777777" w:rsidR="00C85902" w:rsidRPr="00105B7A" w:rsidRDefault="00C85902" w:rsidP="005F0A70">
            <w:pPr>
              <w:spacing w:line="240" w:lineRule="auto"/>
              <w:jc w:val="center"/>
              <w:rPr>
                <w:sz w:val="20"/>
                <w:szCs w:val="20"/>
              </w:rPr>
            </w:pPr>
          </w:p>
          <w:p w14:paraId="5EC39760" w14:textId="77777777" w:rsidR="00C85902" w:rsidRPr="00105B7A" w:rsidRDefault="00C85902" w:rsidP="005F0A70">
            <w:pPr>
              <w:spacing w:line="240" w:lineRule="auto"/>
              <w:jc w:val="center"/>
              <w:rPr>
                <w:sz w:val="20"/>
                <w:szCs w:val="20"/>
              </w:rPr>
            </w:pPr>
          </w:p>
          <w:p w14:paraId="10931937" w14:textId="77777777" w:rsidR="00C85902" w:rsidRPr="00105B7A" w:rsidRDefault="00C85902" w:rsidP="005F0A70">
            <w:pPr>
              <w:spacing w:line="240" w:lineRule="auto"/>
              <w:jc w:val="center"/>
              <w:rPr>
                <w:rFonts w:cs="Arial"/>
                <w:color w:val="000000"/>
                <w:sz w:val="20"/>
                <w:szCs w:val="20"/>
              </w:rPr>
            </w:pPr>
            <w:r w:rsidRPr="00105B7A">
              <w:rPr>
                <w:sz w:val="20"/>
                <w:szCs w:val="20"/>
              </w:rPr>
              <w:t>BioLegend Cat. Nr. 351004</w:t>
            </w:r>
          </w:p>
        </w:tc>
      </w:tr>
      <w:tr w:rsidR="00C85902" w14:paraId="6698F171" w14:textId="77777777" w:rsidTr="00543324">
        <w:tc>
          <w:tcPr>
            <w:tcW w:w="2540" w:type="dxa"/>
          </w:tcPr>
          <w:p w14:paraId="53DD8C5F" w14:textId="77777777" w:rsidR="00C85902" w:rsidRPr="00105B7A" w:rsidRDefault="00C85902" w:rsidP="00105B7A">
            <w:pPr>
              <w:spacing w:line="240" w:lineRule="auto"/>
              <w:rPr>
                <w:rFonts w:cs="Arial"/>
                <w:color w:val="000000"/>
                <w:sz w:val="20"/>
                <w:szCs w:val="20"/>
              </w:rPr>
            </w:pPr>
            <w:r w:rsidRPr="00105B7A">
              <w:rPr>
                <w:rFonts w:cs="Arial"/>
                <w:color w:val="000000"/>
                <w:sz w:val="20"/>
                <w:szCs w:val="20"/>
              </w:rPr>
              <w:t>1 pro Probe</w:t>
            </w:r>
          </w:p>
        </w:tc>
        <w:tc>
          <w:tcPr>
            <w:tcW w:w="3238" w:type="dxa"/>
          </w:tcPr>
          <w:p w14:paraId="755EEE4D" w14:textId="77777777" w:rsidR="00C85902" w:rsidRPr="00105B7A" w:rsidRDefault="00C85902" w:rsidP="00105B7A">
            <w:pPr>
              <w:spacing w:line="240" w:lineRule="auto"/>
              <w:rPr>
                <w:rFonts w:cs="Arial"/>
                <w:color w:val="000000"/>
                <w:sz w:val="20"/>
                <w:szCs w:val="20"/>
              </w:rPr>
            </w:pPr>
            <w:r w:rsidRPr="00105B7A">
              <w:rPr>
                <w:sz w:val="20"/>
                <w:szCs w:val="20"/>
              </w:rPr>
              <w:t>FACS-Röhrchen</w:t>
            </w:r>
          </w:p>
        </w:tc>
        <w:tc>
          <w:tcPr>
            <w:tcW w:w="2942" w:type="dxa"/>
          </w:tcPr>
          <w:p w14:paraId="55E8FF5A" w14:textId="77777777" w:rsidR="00C85902" w:rsidRPr="00105B7A" w:rsidRDefault="00C85902" w:rsidP="002904A8">
            <w:pPr>
              <w:spacing w:line="240" w:lineRule="auto"/>
              <w:jc w:val="center"/>
              <w:rPr>
                <w:rFonts w:cs="Arial"/>
                <w:color w:val="000000"/>
                <w:sz w:val="20"/>
                <w:szCs w:val="20"/>
              </w:rPr>
            </w:pPr>
            <w:r w:rsidRPr="00105B7A">
              <w:rPr>
                <w:rFonts w:cs="Arial"/>
                <w:color w:val="000000"/>
                <w:sz w:val="20"/>
                <w:szCs w:val="20"/>
              </w:rPr>
              <w:t>Falcon</w:t>
            </w:r>
            <w:r>
              <w:rPr>
                <w:rFonts w:cs="Arial"/>
                <w:color w:val="000000"/>
                <w:sz w:val="20"/>
                <w:szCs w:val="20"/>
              </w:rPr>
              <w:t xml:space="preserve"> REF </w:t>
            </w:r>
            <w:r w:rsidRPr="00105B7A">
              <w:rPr>
                <w:rFonts w:cs="Arial"/>
                <w:color w:val="000000"/>
                <w:sz w:val="20"/>
                <w:szCs w:val="20"/>
              </w:rPr>
              <w:t>352052</w:t>
            </w:r>
          </w:p>
        </w:tc>
      </w:tr>
    </w:tbl>
    <w:p w14:paraId="14735C69" w14:textId="77777777" w:rsidR="00C85902" w:rsidRDefault="00C85902">
      <w:pPr>
        <w:pStyle w:val="Beschriftung"/>
      </w:pPr>
    </w:p>
    <w:p w14:paraId="28ACF240" w14:textId="77777777" w:rsidR="00C85902" w:rsidRDefault="00C85902" w:rsidP="000F542E">
      <w:pPr>
        <w:rPr>
          <w:rFonts w:cs="Arial"/>
          <w:color w:val="000000"/>
          <w:szCs w:val="24"/>
        </w:rPr>
      </w:pPr>
      <w:r>
        <w:rPr>
          <w:rFonts w:cs="Arial"/>
          <w:color w:val="000000"/>
          <w:szCs w:val="24"/>
        </w:rPr>
        <w:t>Für diesen Versuch</w:t>
      </w:r>
      <w:r w:rsidRPr="000F542E">
        <w:rPr>
          <w:rFonts w:cs="Arial"/>
          <w:color w:val="000000"/>
          <w:szCs w:val="24"/>
        </w:rPr>
        <w:t xml:space="preserve"> wurden </w:t>
      </w:r>
      <w:r>
        <w:rPr>
          <w:rFonts w:cs="Arial"/>
          <w:color w:val="000000"/>
          <w:szCs w:val="24"/>
        </w:rPr>
        <w:t xml:space="preserve">ab der dritten Woche </w:t>
      </w:r>
      <w:r w:rsidRPr="000F542E">
        <w:rPr>
          <w:rFonts w:cs="Arial"/>
          <w:color w:val="000000"/>
          <w:szCs w:val="24"/>
        </w:rPr>
        <w:t xml:space="preserve">pro </w:t>
      </w:r>
      <w:r>
        <w:rPr>
          <w:rFonts w:cs="Arial"/>
          <w:color w:val="000000"/>
          <w:szCs w:val="24"/>
        </w:rPr>
        <w:t>Zelllinie</w:t>
      </w:r>
      <w:r w:rsidRPr="000F542E">
        <w:rPr>
          <w:rFonts w:cs="Arial"/>
          <w:color w:val="000000"/>
          <w:szCs w:val="24"/>
        </w:rPr>
        <w:t xml:space="preserve"> </w:t>
      </w:r>
      <w:r>
        <w:rPr>
          <w:rFonts w:cs="Arial"/>
          <w:color w:val="000000"/>
          <w:szCs w:val="24"/>
        </w:rPr>
        <w:t xml:space="preserve">jeweils eine zusätzliche, nicht-infizierte Kontrolle und eine </w:t>
      </w:r>
      <w:r w:rsidRPr="000F542E">
        <w:rPr>
          <w:rFonts w:cs="Arial"/>
          <w:color w:val="000000"/>
          <w:szCs w:val="24"/>
        </w:rPr>
        <w:t xml:space="preserve">mit Mykoplasmen </w:t>
      </w:r>
      <w:r>
        <w:rPr>
          <w:rFonts w:cs="Arial"/>
          <w:color w:val="000000"/>
          <w:szCs w:val="24"/>
        </w:rPr>
        <w:t xml:space="preserve">infizierte Kulturflasche hochgezogen. Die Flaschen mussten dicht bewachsen sein, damit eine Zellzahl von 400000 bis 500000 pro Ansatz gewährleistet war und man mit einer Flasche zwei Färbungen für die Durchflußzytometrie (sowohl Positiv als auch Negativkontrolle) herstellen konnte. Die für den Versuch benötigten Arbeitsschritte sind im Folgenden für eine Probe beschrieben und wurden bei allen gesunden als auch mit Mykoplasmen infizierten Zelllinien in gleicher Weise durchgeführt. </w:t>
      </w:r>
    </w:p>
    <w:p w14:paraId="0DD64D61" w14:textId="63990559" w:rsidR="00C85902" w:rsidRDefault="00C85902" w:rsidP="000F542E">
      <w:pPr>
        <w:rPr>
          <w:rFonts w:cs="Arial"/>
          <w:color w:val="000000"/>
          <w:szCs w:val="24"/>
        </w:rPr>
      </w:pPr>
      <w:r>
        <w:rPr>
          <w:rFonts w:cs="Arial"/>
          <w:color w:val="000000"/>
          <w:szCs w:val="24"/>
        </w:rPr>
        <w:t>Ähnlich wie bei einer normalen Passage, wurde im ersten Schritt das alte Zellmedium mit einem Sauger abgenommen und danach 7</w:t>
      </w:r>
      <w:r w:rsidRPr="008C4356">
        <w:rPr>
          <w:w w:val="50"/>
        </w:rPr>
        <w:t> </w:t>
      </w:r>
      <w:r>
        <w:rPr>
          <w:rFonts w:cs="Arial"/>
          <w:color w:val="000000"/>
          <w:szCs w:val="24"/>
        </w:rPr>
        <w:t xml:space="preserve">ml PBS (siehe </w:t>
      </w:r>
      <w:r>
        <w:rPr>
          <w:rFonts w:cs="Arial"/>
          <w:color w:val="000000"/>
          <w:szCs w:val="24"/>
        </w:rPr>
        <w:fldChar w:fldCharType="begin"/>
      </w:r>
      <w:r>
        <w:rPr>
          <w:rFonts w:cs="Arial"/>
          <w:color w:val="000000"/>
          <w:szCs w:val="24"/>
        </w:rPr>
        <w:instrText xml:space="preserve"> REF _Ref120299015 \h </w:instrText>
      </w:r>
      <w:r>
        <w:rPr>
          <w:rFonts w:cs="Arial"/>
          <w:color w:val="000000"/>
          <w:szCs w:val="24"/>
        </w:rPr>
      </w:r>
      <w:r>
        <w:rPr>
          <w:rFonts w:cs="Arial"/>
          <w:color w:val="000000"/>
          <w:szCs w:val="24"/>
        </w:rPr>
        <w:fldChar w:fldCharType="separate"/>
      </w:r>
      <w:r w:rsidR="00791554">
        <w:t xml:space="preserve">Tabelle </w:t>
      </w:r>
      <w:r w:rsidR="00791554">
        <w:rPr>
          <w:noProof/>
        </w:rPr>
        <w:t>21</w:t>
      </w:r>
      <w:r>
        <w:rPr>
          <w:rFonts w:cs="Arial"/>
          <w:color w:val="000000"/>
          <w:szCs w:val="24"/>
        </w:rPr>
        <w:fldChar w:fldCharType="end"/>
      </w:r>
      <w:r>
        <w:rPr>
          <w:rFonts w:cs="Arial"/>
          <w:color w:val="000000"/>
          <w:szCs w:val="24"/>
        </w:rPr>
        <w:t>) in die Zellkulturflasche hinein pipettiert und über den Boden der Flasche geschwenkt, bevor auch das PBS wieder mit einem frischen Saueransatz abgesaugt wurde. Im nächsten Schritt wurden mit einer Pipette jeder Zellkulturflasche 3</w:t>
      </w:r>
      <w:r w:rsidRPr="008C4356">
        <w:rPr>
          <w:w w:val="50"/>
        </w:rPr>
        <w:t> </w:t>
      </w:r>
      <w:r>
        <w:rPr>
          <w:rFonts w:cs="Arial"/>
          <w:color w:val="000000"/>
          <w:szCs w:val="24"/>
        </w:rPr>
        <w:t>ml Accutase hinzugeben und die Flasche so geschwenkt, dass sich die Flüssigkeit homogen auf dem Boden der Flasche verteilte. Nach ca. 9</w:t>
      </w:r>
      <w:r w:rsidRPr="008C4356">
        <w:rPr>
          <w:w w:val="50"/>
        </w:rPr>
        <w:t> </w:t>
      </w:r>
      <w:r>
        <w:rPr>
          <w:rFonts w:cs="Arial"/>
          <w:color w:val="000000"/>
          <w:szCs w:val="24"/>
        </w:rPr>
        <w:t>Minuten Inkubation bei 37</w:t>
      </w:r>
      <w:r w:rsidRPr="008C4356">
        <w:rPr>
          <w:w w:val="50"/>
        </w:rPr>
        <w:t> </w:t>
      </w:r>
      <w:r>
        <w:rPr>
          <w:rFonts w:cs="Arial"/>
          <w:color w:val="000000"/>
          <w:szCs w:val="24"/>
        </w:rPr>
        <w:t>°C, wurde unter dem Mikroskop kontrolliert ob die Zellen sich voneinander gelöst und in Suspension gegangen sind. Die Reaktion wurde dann mit 3</w:t>
      </w:r>
      <w:r w:rsidRPr="008C4356">
        <w:rPr>
          <w:w w:val="50"/>
        </w:rPr>
        <w:t> </w:t>
      </w:r>
      <w:r>
        <w:rPr>
          <w:rFonts w:cs="Arial"/>
          <w:color w:val="000000"/>
          <w:szCs w:val="24"/>
        </w:rPr>
        <w:t xml:space="preserve">ml des normalen Zelllinienmediums (siehe </w:t>
      </w:r>
      <w:r>
        <w:rPr>
          <w:rFonts w:cs="Arial"/>
          <w:color w:val="000000"/>
          <w:szCs w:val="24"/>
        </w:rPr>
        <w:fldChar w:fldCharType="begin"/>
      </w:r>
      <w:r>
        <w:rPr>
          <w:rFonts w:cs="Arial"/>
          <w:color w:val="000000"/>
          <w:szCs w:val="24"/>
        </w:rPr>
        <w:instrText xml:space="preserve"> REF _Ref67390509 \r \h </w:instrText>
      </w:r>
      <w:r>
        <w:rPr>
          <w:rFonts w:cs="Arial"/>
          <w:color w:val="000000"/>
          <w:szCs w:val="24"/>
        </w:rPr>
      </w:r>
      <w:r>
        <w:rPr>
          <w:rFonts w:cs="Arial"/>
          <w:color w:val="000000"/>
          <w:szCs w:val="24"/>
        </w:rPr>
        <w:fldChar w:fldCharType="separate"/>
      </w:r>
      <w:r w:rsidR="00791554">
        <w:rPr>
          <w:rFonts w:cs="Arial"/>
          <w:color w:val="000000"/>
          <w:szCs w:val="24"/>
        </w:rPr>
        <w:t>2.3.1</w:t>
      </w:r>
      <w:r>
        <w:rPr>
          <w:rFonts w:cs="Arial"/>
          <w:color w:val="000000"/>
          <w:szCs w:val="24"/>
        </w:rPr>
        <w:fldChar w:fldCharType="end"/>
      </w:r>
      <w:r>
        <w:rPr>
          <w:rFonts w:cs="Arial"/>
          <w:color w:val="000000"/>
          <w:szCs w:val="24"/>
        </w:rPr>
        <w:t xml:space="preserve"> ) abgestoppt und in einen Zentrifugationsröhrchen überführt. Außerdem wurde der Flaschenboden mit weiteren 10</w:t>
      </w:r>
      <w:r w:rsidRPr="008C4356">
        <w:rPr>
          <w:w w:val="50"/>
        </w:rPr>
        <w:t> </w:t>
      </w:r>
      <w:r>
        <w:rPr>
          <w:rFonts w:cs="Arial"/>
          <w:color w:val="000000"/>
          <w:szCs w:val="24"/>
        </w:rPr>
        <w:t>ml Zelllinienmedium nachgespült und auch diese Spülung wurde überführt. Nachfolgend wurden die Zentrifugationsröhrchen für die Dauer von sieben</w:t>
      </w:r>
      <w:r>
        <w:rPr>
          <w:w w:val="50"/>
        </w:rPr>
        <w:t xml:space="preserve"> </w:t>
      </w:r>
      <w:r>
        <w:rPr>
          <w:rFonts w:cs="Arial"/>
          <w:color w:val="000000"/>
          <w:szCs w:val="24"/>
        </w:rPr>
        <w:t>Minuten bei 1500</w:t>
      </w:r>
      <w:r w:rsidRPr="008C4356">
        <w:rPr>
          <w:w w:val="50"/>
        </w:rPr>
        <w:t> </w:t>
      </w:r>
      <w:r>
        <w:rPr>
          <w:rFonts w:cs="Arial"/>
          <w:color w:val="000000"/>
          <w:szCs w:val="24"/>
        </w:rPr>
        <w:t>rpm abzentrifugiert. Danach wurde der Überstand mit einem Sauger entfernt, sodass das verbleibende Zellpellet mit einer Pipette in 3</w:t>
      </w:r>
      <w:r w:rsidRPr="00DC256B">
        <w:rPr>
          <w:w w:val="50"/>
        </w:rPr>
        <w:t> </w:t>
      </w:r>
      <w:r>
        <w:rPr>
          <w:rFonts w:cs="Arial"/>
          <w:color w:val="000000"/>
          <w:szCs w:val="24"/>
        </w:rPr>
        <w:t>ml PFEA-Puffer re-suspendiert werden konnte. Von dieser Zellsuspension wurden jeweils 1,5</w:t>
      </w:r>
      <w:r w:rsidRPr="009F5BC0">
        <w:rPr>
          <w:w w:val="50"/>
        </w:rPr>
        <w:t> </w:t>
      </w:r>
      <w:r>
        <w:rPr>
          <w:rFonts w:cs="Arial"/>
          <w:color w:val="000000"/>
          <w:szCs w:val="24"/>
        </w:rPr>
        <w:t>ml in zwei 2</w:t>
      </w:r>
      <w:r w:rsidRPr="009F5BC0">
        <w:rPr>
          <w:w w:val="50"/>
        </w:rPr>
        <w:t> </w:t>
      </w:r>
      <w:r>
        <w:rPr>
          <w:rFonts w:cs="Arial"/>
          <w:color w:val="000000"/>
          <w:szCs w:val="24"/>
        </w:rPr>
        <w:t>ml Zentrifugationsröhrchen überführt und die Zentrifugationsröhrchen vier</w:t>
      </w:r>
      <w:r>
        <w:rPr>
          <w:w w:val="50"/>
        </w:rPr>
        <w:t xml:space="preserve"> </w:t>
      </w:r>
      <w:r>
        <w:rPr>
          <w:rFonts w:cs="Arial"/>
          <w:color w:val="000000"/>
          <w:szCs w:val="24"/>
        </w:rPr>
        <w:t>Minuten bei 300</w:t>
      </w:r>
      <w:r w:rsidRPr="009F5BC0">
        <w:rPr>
          <w:w w:val="50"/>
        </w:rPr>
        <w:t> </w:t>
      </w:r>
      <w:r>
        <w:rPr>
          <w:rFonts w:cs="Arial"/>
          <w:color w:val="000000"/>
          <w:szCs w:val="24"/>
        </w:rPr>
        <w:t xml:space="preserve">g zentrifugiert. Es bildete sich erneut ein Zellpellet und ein Überstand, letzterer wurde dekantiert und die Zentrifugationsröhrchen mit Zellpellet wurden auf einem saugfähigen Tuch trocken geklopft. </w:t>
      </w:r>
    </w:p>
    <w:p w14:paraId="71634AB1" w14:textId="77777777" w:rsidR="00C85902" w:rsidRDefault="00C85902" w:rsidP="000F542E">
      <w:pPr>
        <w:rPr>
          <w:rFonts w:cs="Arial"/>
          <w:color w:val="000000"/>
          <w:szCs w:val="24"/>
        </w:rPr>
      </w:pPr>
      <w:r>
        <w:rPr>
          <w:rFonts w:cs="Arial"/>
          <w:color w:val="000000"/>
          <w:szCs w:val="24"/>
        </w:rPr>
        <w:t xml:space="preserve">In jedes Zentrifugationsröhrchen wurden </w:t>
      </w:r>
      <w:r w:rsidRPr="00F53423">
        <w:rPr>
          <w:rFonts w:cs="Arial"/>
          <w:color w:val="000000"/>
          <w:szCs w:val="24"/>
        </w:rPr>
        <w:t>jeweils</w:t>
      </w:r>
      <w:r>
        <w:rPr>
          <w:rFonts w:cs="Arial"/>
          <w:color w:val="000000"/>
          <w:szCs w:val="24"/>
        </w:rPr>
        <w:t xml:space="preserve"> zusätzlich</w:t>
      </w:r>
      <w:r w:rsidRPr="00F53423">
        <w:rPr>
          <w:rFonts w:cs="Arial"/>
          <w:color w:val="000000"/>
          <w:szCs w:val="24"/>
        </w:rPr>
        <w:t xml:space="preserve"> 50</w:t>
      </w:r>
      <w:r w:rsidRPr="00F53423">
        <w:rPr>
          <w:w w:val="50"/>
        </w:rPr>
        <w:t> </w:t>
      </w:r>
      <w:r w:rsidRPr="00F53423">
        <w:rPr>
          <w:rFonts w:cs="Arial"/>
          <w:color w:val="000000"/>
          <w:szCs w:val="24"/>
        </w:rPr>
        <w:t>µl Gamunex</w:t>
      </w:r>
      <w:r>
        <w:rPr>
          <w:rFonts w:cs="Arial"/>
          <w:color w:val="000000"/>
          <w:szCs w:val="24"/>
        </w:rPr>
        <w:t xml:space="preserve"> pipettiert, um unspezifische Bindungsstellen zu blockieren und das Pellet wurde re-suspendiert. Es folgte ein Vortexen und Abfugen und eine abgedunkelte Inkubation bei 4</w:t>
      </w:r>
      <w:r w:rsidRPr="007C63B8">
        <w:rPr>
          <w:w w:val="50"/>
        </w:rPr>
        <w:t> </w:t>
      </w:r>
      <w:r>
        <w:rPr>
          <w:rFonts w:cs="Arial"/>
          <w:color w:val="000000"/>
          <w:szCs w:val="24"/>
        </w:rPr>
        <w:t>°C. Nach 20</w:t>
      </w:r>
      <w:r w:rsidRPr="007C63B8">
        <w:rPr>
          <w:w w:val="50"/>
        </w:rPr>
        <w:t> </w:t>
      </w:r>
      <w:r>
        <w:rPr>
          <w:rFonts w:cs="Arial"/>
          <w:color w:val="000000"/>
          <w:szCs w:val="24"/>
        </w:rPr>
        <w:t>Minuten Inkubation wurden jedem Röhrchen 1</w:t>
      </w:r>
      <w:r w:rsidRPr="007C63B8">
        <w:rPr>
          <w:w w:val="50"/>
        </w:rPr>
        <w:t> </w:t>
      </w:r>
      <w:r>
        <w:rPr>
          <w:rFonts w:cs="Arial"/>
          <w:color w:val="000000"/>
          <w:szCs w:val="24"/>
        </w:rPr>
        <w:t>ml PFEA hinzu pipettiert und das Zentrifugationsröhrchen wurde gevortext. Die sich anschließende Zentrifugation wurde bei 300</w:t>
      </w:r>
      <w:r w:rsidRPr="00712BBC">
        <w:rPr>
          <w:w w:val="50"/>
        </w:rPr>
        <w:t> </w:t>
      </w:r>
      <w:r>
        <w:rPr>
          <w:rFonts w:cs="Arial"/>
          <w:color w:val="000000"/>
          <w:szCs w:val="24"/>
        </w:rPr>
        <w:t>g für die Dauer von 4</w:t>
      </w:r>
      <w:r w:rsidRPr="00712BBC">
        <w:rPr>
          <w:w w:val="50"/>
        </w:rPr>
        <w:t> </w:t>
      </w:r>
      <w:r>
        <w:rPr>
          <w:rFonts w:cs="Arial"/>
          <w:color w:val="000000"/>
          <w:szCs w:val="24"/>
        </w:rPr>
        <w:t xml:space="preserve">Minuten durchgeführt. Wie bereits zuvor beschrieben, wurde erneut der Überstand dekantiert und die Zentrifugationsröhrchen auf Papier trocken geklopft. </w:t>
      </w:r>
    </w:p>
    <w:p w14:paraId="09355AF2" w14:textId="77777777" w:rsidR="00C85902" w:rsidRPr="00A12E16" w:rsidRDefault="00C85902" w:rsidP="000F542E">
      <w:pPr>
        <w:rPr>
          <w:rFonts w:cs="Arial"/>
          <w:color w:val="000000"/>
          <w:szCs w:val="24"/>
        </w:rPr>
      </w:pPr>
      <w:r>
        <w:rPr>
          <w:rFonts w:cs="Arial"/>
          <w:color w:val="000000"/>
          <w:szCs w:val="24"/>
        </w:rPr>
        <w:t xml:space="preserve">Für den Versuch wurde das Verfahren der direkten Färbung gewählt. Hierfür wurde zunächst die Antikörperlösung, wie weiter oben unter Material und Methoden beschrieben hergestellt und in mit Alufolie umwickelten Röhrchen auf Eis gelagert. Um sowohl eine Positiv- als auch eine Negativkontrolle zu erhalten, wurden die zwei Zentrifugationsröhrchen </w:t>
      </w:r>
      <w:r w:rsidRPr="00A12E16">
        <w:rPr>
          <w:rFonts w:cs="Arial"/>
          <w:color w:val="000000"/>
          <w:szCs w:val="24"/>
        </w:rPr>
        <w:t xml:space="preserve">der gleichen Zelllinien Probe im Folgenden unterschiedlich ergänzt. </w:t>
      </w:r>
      <w:r>
        <w:rPr>
          <w:rFonts w:cs="Arial"/>
          <w:color w:val="000000"/>
          <w:szCs w:val="24"/>
        </w:rPr>
        <w:t>Für den Nachweis des Zielantigens</w:t>
      </w:r>
      <w:r w:rsidRPr="00A12E16">
        <w:rPr>
          <w:rFonts w:cs="Arial"/>
          <w:color w:val="000000"/>
          <w:szCs w:val="24"/>
        </w:rPr>
        <w:t xml:space="preserve"> wurden jeweils 50</w:t>
      </w:r>
      <w:r w:rsidRPr="00A12E16">
        <w:rPr>
          <w:w w:val="50"/>
        </w:rPr>
        <w:t> </w:t>
      </w:r>
      <w:r w:rsidRPr="00A12E16">
        <w:rPr>
          <w:rFonts w:cs="Arial"/>
          <w:color w:val="000000"/>
          <w:szCs w:val="24"/>
        </w:rPr>
        <w:t>µl de</w:t>
      </w:r>
      <w:r>
        <w:rPr>
          <w:rFonts w:cs="Arial"/>
          <w:color w:val="000000"/>
          <w:szCs w:val="24"/>
        </w:rPr>
        <w:t>r</w:t>
      </w:r>
      <w:r w:rsidRPr="00A12E16">
        <w:rPr>
          <w:rFonts w:cs="Arial"/>
          <w:color w:val="000000"/>
          <w:szCs w:val="24"/>
        </w:rPr>
        <w:t xml:space="preserve"> 1:20 </w:t>
      </w:r>
      <w:r>
        <w:rPr>
          <w:rFonts w:cs="Arial"/>
          <w:color w:val="000000"/>
          <w:szCs w:val="24"/>
        </w:rPr>
        <w:t xml:space="preserve">in PFEA </w:t>
      </w:r>
      <w:r w:rsidRPr="00A12E16">
        <w:rPr>
          <w:rFonts w:cs="Arial"/>
          <w:color w:val="000000"/>
          <w:szCs w:val="24"/>
        </w:rPr>
        <w:t xml:space="preserve">verdünnten Antikörperlösung </w:t>
      </w:r>
      <w:r>
        <w:rPr>
          <w:rFonts w:cs="Arial"/>
          <w:color w:val="000000"/>
          <w:szCs w:val="24"/>
        </w:rPr>
        <w:t xml:space="preserve">(siehe Material) zu den Zellen </w:t>
      </w:r>
      <w:r w:rsidRPr="00A12E16">
        <w:rPr>
          <w:rFonts w:cs="Arial"/>
          <w:color w:val="000000"/>
          <w:szCs w:val="24"/>
        </w:rPr>
        <w:t>hinzugegeben, während de</w:t>
      </w:r>
      <w:r>
        <w:rPr>
          <w:rFonts w:cs="Arial"/>
          <w:color w:val="000000"/>
          <w:szCs w:val="24"/>
        </w:rPr>
        <w:t xml:space="preserve">r </w:t>
      </w:r>
      <w:r w:rsidRPr="00A12E16">
        <w:rPr>
          <w:rFonts w:cs="Arial"/>
          <w:color w:val="000000"/>
          <w:szCs w:val="24"/>
        </w:rPr>
        <w:t>Kontrolle 50</w:t>
      </w:r>
      <w:r w:rsidRPr="00A12E16">
        <w:rPr>
          <w:w w:val="50"/>
        </w:rPr>
        <w:t> </w:t>
      </w:r>
      <w:r w:rsidRPr="00A12E16">
        <w:rPr>
          <w:rFonts w:cs="Arial"/>
          <w:color w:val="000000"/>
          <w:szCs w:val="24"/>
        </w:rPr>
        <w:t xml:space="preserve">µl PFEA </w:t>
      </w:r>
      <w:r>
        <w:rPr>
          <w:rFonts w:cs="Arial"/>
          <w:color w:val="000000"/>
          <w:szCs w:val="24"/>
        </w:rPr>
        <w:t xml:space="preserve">ohne Antikörper </w:t>
      </w:r>
      <w:r w:rsidRPr="00A12E16">
        <w:rPr>
          <w:rFonts w:cs="Arial"/>
          <w:color w:val="000000"/>
          <w:szCs w:val="24"/>
        </w:rPr>
        <w:t>hinzugegeben wurden. Alle Proben wurden nun bei 4</w:t>
      </w:r>
      <w:r w:rsidRPr="00A12E16">
        <w:rPr>
          <w:w w:val="50"/>
        </w:rPr>
        <w:t> </w:t>
      </w:r>
      <w:r w:rsidRPr="00A12E16">
        <w:rPr>
          <w:rFonts w:cs="Arial"/>
          <w:color w:val="000000"/>
          <w:szCs w:val="24"/>
        </w:rPr>
        <w:t>°C für die Dauer von 20</w:t>
      </w:r>
      <w:r w:rsidRPr="00A12E16">
        <w:rPr>
          <w:w w:val="50"/>
        </w:rPr>
        <w:t> </w:t>
      </w:r>
      <w:r w:rsidRPr="00A12E16">
        <w:rPr>
          <w:rFonts w:cs="Arial"/>
          <w:color w:val="000000"/>
          <w:szCs w:val="24"/>
        </w:rPr>
        <w:t>Minuten inkubiert, danach wurde jeder Probe 1</w:t>
      </w:r>
      <w:r w:rsidRPr="00A12E16">
        <w:rPr>
          <w:w w:val="50"/>
        </w:rPr>
        <w:t> </w:t>
      </w:r>
      <w:r w:rsidRPr="00A12E16">
        <w:rPr>
          <w:rFonts w:cs="Arial"/>
          <w:color w:val="000000"/>
          <w:szCs w:val="24"/>
        </w:rPr>
        <w:t xml:space="preserve">ml PFEA hinzugegeben und die </w:t>
      </w:r>
      <w:r>
        <w:rPr>
          <w:rFonts w:cs="Arial"/>
          <w:color w:val="000000"/>
          <w:szCs w:val="24"/>
        </w:rPr>
        <w:t>Zentrifugationsröhrchen</w:t>
      </w:r>
      <w:r w:rsidRPr="00A12E16">
        <w:rPr>
          <w:rFonts w:cs="Arial"/>
          <w:color w:val="000000"/>
          <w:szCs w:val="24"/>
        </w:rPr>
        <w:t xml:space="preserve"> bei 300</w:t>
      </w:r>
      <w:r w:rsidRPr="00A12E16">
        <w:rPr>
          <w:w w:val="50"/>
        </w:rPr>
        <w:t> </w:t>
      </w:r>
      <w:r w:rsidRPr="00A12E16">
        <w:rPr>
          <w:rFonts w:cs="Arial"/>
          <w:color w:val="000000"/>
          <w:szCs w:val="24"/>
        </w:rPr>
        <w:t>g für die Dauer von 4</w:t>
      </w:r>
      <w:r w:rsidRPr="00A12E16">
        <w:rPr>
          <w:w w:val="50"/>
        </w:rPr>
        <w:t> </w:t>
      </w:r>
      <w:r w:rsidRPr="00A12E16">
        <w:rPr>
          <w:rFonts w:cs="Arial"/>
          <w:color w:val="000000"/>
          <w:szCs w:val="24"/>
        </w:rPr>
        <w:t>Minuten zentrifugiert und zum Schluss dekantiert. Nun wurden die Pellets in jeweils 300</w:t>
      </w:r>
      <w:r w:rsidRPr="00A12E16">
        <w:rPr>
          <w:w w:val="50"/>
        </w:rPr>
        <w:t> </w:t>
      </w:r>
      <w:r w:rsidRPr="00A12E16">
        <w:rPr>
          <w:rFonts w:cs="Arial"/>
          <w:color w:val="000000"/>
          <w:szCs w:val="24"/>
        </w:rPr>
        <w:t>µl PFEA re</w:t>
      </w:r>
      <w:r>
        <w:rPr>
          <w:rFonts w:cs="Arial"/>
          <w:color w:val="000000"/>
          <w:szCs w:val="24"/>
        </w:rPr>
        <w:t>-</w:t>
      </w:r>
      <w:r w:rsidRPr="00A12E16">
        <w:rPr>
          <w:rFonts w:cs="Arial"/>
          <w:color w:val="000000"/>
          <w:szCs w:val="24"/>
        </w:rPr>
        <w:t>suspendiert und in speziellen FACS-Röhrchen überführt und mit Aluminiumfolie bedeckt bei 4</w:t>
      </w:r>
      <w:r w:rsidRPr="00A12E16">
        <w:rPr>
          <w:w w:val="50"/>
        </w:rPr>
        <w:t> </w:t>
      </w:r>
      <w:r w:rsidRPr="00A12E16">
        <w:rPr>
          <w:rFonts w:cs="Arial"/>
          <w:color w:val="000000"/>
          <w:szCs w:val="24"/>
        </w:rPr>
        <w:t>°C bis zur Messung gelagert. Im Anschluss konnte für jede Zelllinie im LSR II (FACS</w:t>
      </w:r>
      <w:r>
        <w:rPr>
          <w:rFonts w:cs="Arial"/>
          <w:color w:val="000000"/>
          <w:szCs w:val="24"/>
        </w:rPr>
        <w:t>-</w:t>
      </w:r>
      <w:r w:rsidRPr="00A12E16">
        <w:rPr>
          <w:rFonts w:cs="Arial"/>
          <w:color w:val="000000"/>
          <w:szCs w:val="24"/>
        </w:rPr>
        <w:t xml:space="preserve">Gerät) zunächst </w:t>
      </w:r>
      <w:r>
        <w:rPr>
          <w:rFonts w:cs="Arial"/>
          <w:color w:val="000000"/>
          <w:szCs w:val="24"/>
        </w:rPr>
        <w:t>die</w:t>
      </w:r>
      <w:r w:rsidRPr="00A12E16">
        <w:rPr>
          <w:rFonts w:cs="Arial"/>
          <w:color w:val="000000"/>
          <w:szCs w:val="24"/>
        </w:rPr>
        <w:t xml:space="preserve"> </w:t>
      </w:r>
      <w:r>
        <w:rPr>
          <w:rFonts w:cs="Arial"/>
          <w:color w:val="000000"/>
          <w:szCs w:val="24"/>
        </w:rPr>
        <w:t xml:space="preserve">korrespondierende ungefärbte </w:t>
      </w:r>
      <w:r w:rsidRPr="00A12E16">
        <w:rPr>
          <w:rFonts w:cs="Arial"/>
          <w:color w:val="000000"/>
          <w:szCs w:val="24"/>
        </w:rPr>
        <w:t>Kontrolle und danach</w:t>
      </w:r>
      <w:r>
        <w:rPr>
          <w:rFonts w:cs="Arial"/>
          <w:color w:val="000000"/>
          <w:szCs w:val="24"/>
        </w:rPr>
        <w:t xml:space="preserve"> die mit Antikörpern markierte Probe </w:t>
      </w:r>
      <w:r w:rsidRPr="00A12E16">
        <w:rPr>
          <w:rFonts w:cs="Arial"/>
          <w:color w:val="000000"/>
          <w:szCs w:val="24"/>
        </w:rPr>
        <w:t>analysiert und mittels der Software ausgewertet werden.</w:t>
      </w:r>
    </w:p>
    <w:p w14:paraId="5EEEA617" w14:textId="77777777" w:rsidR="00C85902" w:rsidRDefault="00C85902" w:rsidP="008967C3">
      <w:pPr>
        <w:pStyle w:val="berschrift2"/>
      </w:pPr>
      <w:bookmarkStart w:id="129" w:name="_Toc121158669"/>
      <w:r>
        <w:t>Nachweis und Ausschluss einer Mykoplasmen Infektion mittels MycoSPY</w:t>
      </w:r>
      <w:r w:rsidRPr="00DF6039">
        <w:rPr>
          <w:vertAlign w:val="superscript"/>
        </w:rPr>
        <w:t>®</w:t>
      </w:r>
      <w:bookmarkEnd w:id="129"/>
    </w:p>
    <w:p w14:paraId="0466B8B2" w14:textId="77777777" w:rsidR="00C85902" w:rsidRPr="00046C4E" w:rsidRDefault="00C85902" w:rsidP="00046C4E">
      <w:r>
        <w:rPr>
          <w:rFonts w:cs="Arial"/>
          <w:color w:val="000000"/>
          <w:szCs w:val="24"/>
        </w:rPr>
        <w:t>Sowohl anfangs als auch am Ende der Versuchsreihe wurden die Überstände von jeder Zellkultur mittels MycoSPY</w:t>
      </w:r>
      <w:r w:rsidRPr="00DF6039">
        <w:rPr>
          <w:rFonts w:cs="Arial"/>
          <w:color w:val="000000"/>
          <w:szCs w:val="24"/>
          <w:vertAlign w:val="superscript"/>
        </w:rPr>
        <w:t>®</w:t>
      </w:r>
      <w:r>
        <w:rPr>
          <w:rFonts w:cs="Arial"/>
          <w:color w:val="000000"/>
          <w:szCs w:val="24"/>
        </w:rPr>
        <w:t>-PCR untersucht, um eine Infektion mit Mykoplasmen nachzuweisen bzw. auszuschließen.</w:t>
      </w:r>
    </w:p>
    <w:p w14:paraId="73C82D33" w14:textId="77777777" w:rsidR="00C85902" w:rsidRDefault="00C85902" w:rsidP="00520665">
      <w:pPr>
        <w:pStyle w:val="berschrift3"/>
      </w:pPr>
      <w:bookmarkStart w:id="130" w:name="_Toc121158670"/>
      <w:r>
        <w:t>Behandlung des Zellkulturüberstands</w:t>
      </w:r>
      <w:bookmarkEnd w:id="130"/>
    </w:p>
    <w:p w14:paraId="1918B6B4" w14:textId="22258FD4" w:rsidR="00C85902" w:rsidRDefault="00C85902" w:rsidP="0001185F">
      <w:pPr>
        <w:rPr>
          <w:rFonts w:cs="Arial"/>
          <w:color w:val="000000"/>
          <w:szCs w:val="24"/>
        </w:rPr>
      </w:pPr>
      <w:r>
        <w:rPr>
          <w:rFonts w:cs="Arial"/>
          <w:color w:val="000000"/>
          <w:szCs w:val="24"/>
        </w:rPr>
        <w:t>Erst nachdem die Zellkultur zu 90</w:t>
      </w:r>
      <w:r w:rsidRPr="008C4356">
        <w:rPr>
          <w:w w:val="50"/>
        </w:rPr>
        <w:t> </w:t>
      </w:r>
      <w:r>
        <w:rPr>
          <w:rFonts w:cs="Arial"/>
          <w:color w:val="000000"/>
          <w:szCs w:val="24"/>
        </w:rPr>
        <w:t>% konfluent war und der letzte Mediumswechsel drei Tage zurück lag, wurde 1</w:t>
      </w:r>
      <w:r w:rsidRPr="008C4356">
        <w:rPr>
          <w:w w:val="50"/>
        </w:rPr>
        <w:t> </w:t>
      </w:r>
      <w:r>
        <w:rPr>
          <w:rFonts w:cs="Arial"/>
          <w:color w:val="000000"/>
          <w:szCs w:val="24"/>
        </w:rPr>
        <w:t>ml Überstand pro Kultur entnommen und in ein Zentrifugationsröhrchen überführt. Dann wurde dieser für die Dauer von vier Minuten bei 94</w:t>
      </w:r>
      <w:r w:rsidRPr="008C4356">
        <w:rPr>
          <w:w w:val="50"/>
        </w:rPr>
        <w:t> </w:t>
      </w:r>
      <w:r>
        <w:rPr>
          <w:rFonts w:cs="Arial"/>
          <w:color w:val="000000"/>
          <w:szCs w:val="24"/>
        </w:rPr>
        <w:t>°C im Thermomixer erhitzt und anschließend eine Minute bei 13000</w:t>
      </w:r>
      <w:r w:rsidRPr="008C4356">
        <w:rPr>
          <w:w w:val="50"/>
        </w:rPr>
        <w:t> </w:t>
      </w:r>
      <w:r>
        <w:rPr>
          <w:rFonts w:cs="Arial"/>
          <w:color w:val="000000"/>
          <w:szCs w:val="24"/>
        </w:rPr>
        <w:t>g zentrifugiert, sodass sich ein Pellet aus Zellmaterial bildete. Im nächsten Schritt wurde mit einer Eppendorf Pipette 800</w:t>
      </w:r>
      <w:r w:rsidRPr="008C4356">
        <w:rPr>
          <w:w w:val="50"/>
        </w:rPr>
        <w:t> </w:t>
      </w:r>
      <w:r>
        <w:rPr>
          <w:rFonts w:cs="Arial"/>
          <w:color w:val="000000"/>
          <w:szCs w:val="24"/>
        </w:rPr>
        <w:t>µl dieses Überstands in einen neues Zentrifugationsröhrchen überführt und der Rest inklusive Pellet verworfen. Die Proben wurden dann bis zur Durchführung des MycoSPY</w:t>
      </w:r>
      <w:r w:rsidRPr="00DF6039">
        <w:rPr>
          <w:rFonts w:cs="Arial"/>
          <w:color w:val="000000"/>
          <w:szCs w:val="24"/>
          <w:vertAlign w:val="superscript"/>
        </w:rPr>
        <w:t>®</w:t>
      </w:r>
      <w:r>
        <w:rPr>
          <w:rFonts w:cs="Arial"/>
          <w:color w:val="000000"/>
          <w:szCs w:val="24"/>
        </w:rPr>
        <w:t xml:space="preserve"> bei -20</w:t>
      </w:r>
      <w:r w:rsidRPr="008C4356">
        <w:rPr>
          <w:w w:val="50"/>
        </w:rPr>
        <w:t> </w:t>
      </w:r>
      <w:r>
        <w:rPr>
          <w:rFonts w:cs="Arial"/>
          <w:color w:val="000000"/>
          <w:szCs w:val="24"/>
        </w:rPr>
        <w:t xml:space="preserve">°C gelagert. Das benötigte Material ist in </w:t>
      </w:r>
      <w:r>
        <w:rPr>
          <w:rFonts w:cs="Arial"/>
          <w:color w:val="000000"/>
          <w:szCs w:val="24"/>
        </w:rPr>
        <w:fldChar w:fldCharType="begin"/>
      </w:r>
      <w:r>
        <w:rPr>
          <w:rFonts w:cs="Arial"/>
          <w:color w:val="000000"/>
          <w:szCs w:val="24"/>
        </w:rPr>
        <w:instrText xml:space="preserve"> REF _Ref120299494 \h </w:instrText>
      </w:r>
      <w:r>
        <w:rPr>
          <w:rFonts w:cs="Arial"/>
          <w:color w:val="000000"/>
          <w:szCs w:val="24"/>
        </w:rPr>
      </w:r>
      <w:r>
        <w:rPr>
          <w:rFonts w:cs="Arial"/>
          <w:color w:val="000000"/>
          <w:szCs w:val="24"/>
        </w:rPr>
        <w:fldChar w:fldCharType="separate"/>
      </w:r>
      <w:r w:rsidR="00791554">
        <w:t xml:space="preserve">Tabelle </w:t>
      </w:r>
      <w:r w:rsidR="00791554">
        <w:rPr>
          <w:noProof/>
        </w:rPr>
        <w:t>22</w:t>
      </w:r>
      <w:r>
        <w:rPr>
          <w:rFonts w:cs="Arial"/>
          <w:color w:val="000000"/>
          <w:szCs w:val="24"/>
        </w:rPr>
        <w:fldChar w:fldCharType="end"/>
      </w:r>
      <w:r>
        <w:rPr>
          <w:rFonts w:cs="Arial"/>
          <w:color w:val="000000"/>
          <w:szCs w:val="24"/>
        </w:rPr>
        <w:t xml:space="preserve"> aufgeführt. </w:t>
      </w:r>
    </w:p>
    <w:p w14:paraId="6425CC37" w14:textId="77777777" w:rsidR="00C85902" w:rsidRPr="002B6705" w:rsidRDefault="00C85902" w:rsidP="00CE3889">
      <w:pPr>
        <w:pStyle w:val="berschrift3"/>
      </w:pPr>
      <w:bookmarkStart w:id="131" w:name="_Toc121158671"/>
      <w:r>
        <w:t>PCR</w:t>
      </w:r>
      <w:bookmarkEnd w:id="131"/>
    </w:p>
    <w:p w14:paraId="191835FF" w14:textId="77777777" w:rsidR="00C85902" w:rsidRPr="00CE3889" w:rsidRDefault="00C85902" w:rsidP="00CE3889">
      <w:pPr>
        <w:rPr>
          <w:rFonts w:cs="Arial"/>
          <w:b/>
          <w:bCs/>
          <w:color w:val="000000"/>
          <w:szCs w:val="24"/>
          <w:u w:val="single"/>
        </w:rPr>
      </w:pPr>
      <w:r w:rsidRPr="0012772D">
        <w:rPr>
          <w:rFonts w:cs="Arial"/>
          <w:b/>
          <w:bCs/>
          <w:color w:val="000000"/>
          <w:szCs w:val="24"/>
          <w:u w:val="single"/>
        </w:rPr>
        <w:t>Material:</w:t>
      </w:r>
    </w:p>
    <w:p w14:paraId="50DC2D36" w14:textId="34299E5D" w:rsidR="00C85902" w:rsidRPr="005F0A70" w:rsidRDefault="00C85902" w:rsidP="00DF6039">
      <w:pPr>
        <w:pStyle w:val="Beschriftung"/>
        <w:keepNext/>
        <w:rPr>
          <w:vanish/>
          <w:specVanish/>
        </w:rPr>
      </w:pPr>
      <w:bookmarkStart w:id="132" w:name="_Ref120299494"/>
      <w:bookmarkStart w:id="133" w:name="_Toc120649864"/>
      <w:r>
        <w:t xml:space="preserve">Tabelle </w:t>
      </w:r>
      <w:r>
        <w:fldChar w:fldCharType="begin"/>
      </w:r>
      <w:r>
        <w:instrText xml:space="preserve"> SEQ Tabelle \* ARABIC </w:instrText>
      </w:r>
      <w:r>
        <w:fldChar w:fldCharType="separate"/>
      </w:r>
      <w:r w:rsidR="00791554">
        <w:rPr>
          <w:noProof/>
        </w:rPr>
        <w:t>22</w:t>
      </w:r>
      <w:r>
        <w:rPr>
          <w:noProof/>
        </w:rPr>
        <w:fldChar w:fldCharType="end"/>
      </w:r>
      <w:bookmarkEnd w:id="132"/>
      <w:r>
        <w:t xml:space="preserve"> </w:t>
      </w:r>
      <w:r w:rsidRPr="006312C2">
        <w:t>Material Myco</w:t>
      </w:r>
      <w:r>
        <w:t xml:space="preserve">SPY </w:t>
      </w:r>
      <w:r w:rsidRPr="005F0A70">
        <w:rPr>
          <w:vertAlign w:val="superscript"/>
        </w:rPr>
        <w:t>®</w:t>
      </w:r>
      <w:bookmarkEnd w:id="133"/>
      <w:r>
        <w:t xml:space="preserve">  </w:t>
      </w:r>
    </w:p>
    <w:p w14:paraId="29BF4596" w14:textId="6E0510A7" w:rsidR="00C85902" w:rsidRDefault="00C85902" w:rsidP="00DF6039">
      <w:pPr>
        <w:pStyle w:val="Beschriftung"/>
        <w:keepNext/>
      </w:pPr>
      <w:r>
        <w:t xml:space="preserve"> </w:t>
      </w:r>
      <w:r>
        <w:br/>
        <w:t xml:space="preserve">Aufführung des Materials und der Hersteller zum Durchführen des MycoSPY </w:t>
      </w:r>
      <w:r w:rsidRPr="005F0A70">
        <w:rPr>
          <w:vertAlign w:val="superscript"/>
        </w:rPr>
        <w:t>®</w:t>
      </w:r>
      <w:r>
        <w:t xml:space="preserve"> zum Nachweis/ Ausschluss einer Infektion mit Mykoplasmen. bp: Basenpaare </w:t>
      </w:r>
      <w:r w:rsidR="002F4DCE">
        <w:t xml:space="preserve">NTW: Non Template Water </w:t>
      </w:r>
    </w:p>
    <w:tbl>
      <w:tblPr>
        <w:tblStyle w:val="Tabellenraster"/>
        <w:tblW w:w="0" w:type="auto"/>
        <w:tblLook w:val="04A0" w:firstRow="1" w:lastRow="0" w:firstColumn="1" w:lastColumn="0" w:noHBand="0" w:noVBand="1"/>
      </w:tblPr>
      <w:tblGrid>
        <w:gridCol w:w="4400"/>
        <w:gridCol w:w="4094"/>
      </w:tblGrid>
      <w:tr w:rsidR="00C85902" w14:paraId="1D23BAB5" w14:textId="77777777" w:rsidTr="00384028">
        <w:tc>
          <w:tcPr>
            <w:tcW w:w="4400" w:type="dxa"/>
          </w:tcPr>
          <w:p w14:paraId="29DD6495" w14:textId="77777777" w:rsidR="00C85902" w:rsidRPr="005F0A70" w:rsidRDefault="00C85902" w:rsidP="005F0A70">
            <w:pPr>
              <w:spacing w:line="240" w:lineRule="auto"/>
              <w:rPr>
                <w:rFonts w:cs="Arial"/>
                <w:b/>
                <w:bCs/>
                <w:color w:val="000000"/>
                <w:sz w:val="20"/>
                <w:lang w:val="en-GB"/>
              </w:rPr>
            </w:pPr>
            <w:r w:rsidRPr="005F0A70">
              <w:rPr>
                <w:rFonts w:cs="Arial"/>
                <w:b/>
                <w:bCs/>
                <w:color w:val="000000"/>
                <w:sz w:val="20"/>
                <w:lang w:val="en-GB"/>
              </w:rPr>
              <w:t>Material</w:t>
            </w:r>
          </w:p>
        </w:tc>
        <w:tc>
          <w:tcPr>
            <w:tcW w:w="4094" w:type="dxa"/>
          </w:tcPr>
          <w:p w14:paraId="2D6880D8" w14:textId="77777777" w:rsidR="00C85902" w:rsidRPr="005F0A70" w:rsidRDefault="00C85902" w:rsidP="005F0A70">
            <w:pPr>
              <w:spacing w:line="240" w:lineRule="auto"/>
              <w:jc w:val="center"/>
              <w:rPr>
                <w:rFonts w:cs="Arial"/>
                <w:b/>
                <w:bCs/>
                <w:color w:val="000000"/>
                <w:sz w:val="20"/>
                <w:lang w:val="en-GB"/>
              </w:rPr>
            </w:pPr>
            <w:r w:rsidRPr="005F0A70">
              <w:rPr>
                <w:rFonts w:cs="Arial"/>
                <w:b/>
                <w:bCs/>
                <w:color w:val="000000"/>
                <w:sz w:val="20"/>
                <w:lang w:val="en-GB"/>
              </w:rPr>
              <w:t>Hersteller</w:t>
            </w:r>
          </w:p>
        </w:tc>
      </w:tr>
      <w:tr w:rsidR="00C85902" w:rsidRPr="009230DA" w14:paraId="641F29E9" w14:textId="77777777" w:rsidTr="009E4A78">
        <w:tc>
          <w:tcPr>
            <w:tcW w:w="4400" w:type="dxa"/>
          </w:tcPr>
          <w:p w14:paraId="7EBE7C3B" w14:textId="77777777" w:rsidR="00C85902" w:rsidRPr="005F0A70" w:rsidRDefault="00C85902" w:rsidP="005F0A70">
            <w:pPr>
              <w:spacing w:line="240" w:lineRule="auto"/>
              <w:rPr>
                <w:rFonts w:cs="Arial"/>
                <w:color w:val="000000"/>
                <w:sz w:val="20"/>
              </w:rPr>
            </w:pPr>
            <w:r w:rsidRPr="005F0A70">
              <w:rPr>
                <w:rFonts w:cs="Arial"/>
                <w:color w:val="000000"/>
                <w:sz w:val="20"/>
              </w:rPr>
              <w:t>MasterMix MycoSPY®</w:t>
            </w:r>
          </w:p>
          <w:p w14:paraId="6CB0D266" w14:textId="755D224A" w:rsidR="00C85902" w:rsidRPr="005F0A70" w:rsidRDefault="00C85902" w:rsidP="005F0A70">
            <w:pPr>
              <w:spacing w:line="240" w:lineRule="auto"/>
              <w:rPr>
                <w:rFonts w:cs="Arial"/>
                <w:color w:val="000000"/>
                <w:sz w:val="20"/>
              </w:rPr>
            </w:pPr>
            <w:r w:rsidRPr="005F0A70">
              <w:rPr>
                <w:rFonts w:cs="Arial"/>
                <w:color w:val="000000"/>
                <w:sz w:val="20"/>
              </w:rPr>
              <w:t>pro Probe bestehend aus:</w:t>
            </w:r>
            <w:r w:rsidRPr="005F0A70">
              <w:rPr>
                <w:rFonts w:cs="Arial"/>
                <w:color w:val="000000"/>
                <w:sz w:val="20"/>
              </w:rPr>
              <w:br/>
              <w:t>- 9,3</w:t>
            </w:r>
            <w:r w:rsidRPr="005F0A70">
              <w:rPr>
                <w:w w:val="50"/>
                <w:sz w:val="20"/>
              </w:rPr>
              <w:t> </w:t>
            </w:r>
            <w:r w:rsidRPr="005F0A70">
              <w:rPr>
                <w:rFonts w:cs="Arial"/>
                <w:color w:val="000000"/>
                <w:sz w:val="20"/>
              </w:rPr>
              <w:t>µl Non Template Water (NTW)</w:t>
            </w:r>
            <w:r w:rsidRPr="005F0A70">
              <w:rPr>
                <w:rFonts w:cs="Arial"/>
                <w:color w:val="000000"/>
                <w:sz w:val="20"/>
              </w:rPr>
              <w:br/>
              <w:t>- 2,7</w:t>
            </w:r>
            <w:r w:rsidRPr="005F0A70">
              <w:rPr>
                <w:w w:val="50"/>
                <w:sz w:val="20"/>
              </w:rPr>
              <w:t> </w:t>
            </w:r>
            <w:r w:rsidRPr="005F0A70">
              <w:rPr>
                <w:rFonts w:cs="Arial"/>
                <w:color w:val="000000"/>
                <w:sz w:val="20"/>
              </w:rPr>
              <w:t>µl Taq Polymerase Puffer</w:t>
            </w:r>
            <w:r w:rsidRPr="005F0A70">
              <w:rPr>
                <w:rFonts w:cs="Arial"/>
                <w:color w:val="000000"/>
                <w:sz w:val="20"/>
              </w:rPr>
              <w:br/>
              <w:t>- 9</w:t>
            </w:r>
            <w:r w:rsidRPr="005F0A70">
              <w:rPr>
                <w:w w:val="50"/>
                <w:sz w:val="20"/>
              </w:rPr>
              <w:t> </w:t>
            </w:r>
            <w:r w:rsidRPr="005F0A70">
              <w:rPr>
                <w:rFonts w:cs="Arial"/>
                <w:color w:val="000000"/>
                <w:sz w:val="20"/>
              </w:rPr>
              <w:t>µl Primer Mix</w:t>
            </w:r>
            <w:r w:rsidRPr="005F0A70">
              <w:rPr>
                <w:rFonts w:cs="Arial"/>
                <w:color w:val="000000"/>
                <w:sz w:val="20"/>
              </w:rPr>
              <w:br/>
              <w:t>-</w:t>
            </w:r>
            <w:r w:rsidR="002F4DCE">
              <w:rPr>
                <w:rFonts w:cs="Arial"/>
                <w:color w:val="000000"/>
                <w:sz w:val="20"/>
              </w:rPr>
              <w:t xml:space="preserve"> </w:t>
            </w:r>
            <w:r w:rsidRPr="005F0A70">
              <w:rPr>
                <w:rFonts w:cs="Arial"/>
                <w:color w:val="000000"/>
                <w:sz w:val="20"/>
              </w:rPr>
              <w:t>1</w:t>
            </w:r>
            <w:r w:rsidRPr="005F0A70">
              <w:rPr>
                <w:w w:val="50"/>
                <w:sz w:val="20"/>
              </w:rPr>
              <w:t> </w:t>
            </w:r>
            <w:r w:rsidRPr="005F0A70">
              <w:rPr>
                <w:rFonts w:cs="Arial"/>
                <w:color w:val="000000"/>
                <w:sz w:val="20"/>
              </w:rPr>
              <w:t>µl Interne Kontrolle (700</w:t>
            </w:r>
            <w:r w:rsidR="002F4DCE" w:rsidRPr="005F0A70">
              <w:rPr>
                <w:w w:val="50"/>
                <w:sz w:val="20"/>
              </w:rPr>
              <w:t> </w:t>
            </w:r>
            <w:r w:rsidRPr="005F0A70">
              <w:rPr>
                <w:rFonts w:cs="Arial"/>
                <w:color w:val="000000"/>
                <w:sz w:val="20"/>
              </w:rPr>
              <w:t>bp)</w:t>
            </w:r>
            <w:r w:rsidRPr="005F0A70">
              <w:rPr>
                <w:rFonts w:cs="Arial"/>
                <w:color w:val="000000"/>
                <w:sz w:val="20"/>
              </w:rPr>
              <w:br/>
              <w:t>- 1</w:t>
            </w:r>
            <w:r w:rsidRPr="005F0A70">
              <w:rPr>
                <w:w w:val="50"/>
                <w:sz w:val="20"/>
              </w:rPr>
              <w:t> </w:t>
            </w:r>
            <w:r w:rsidRPr="005F0A70">
              <w:rPr>
                <w:rFonts w:cs="Arial"/>
                <w:color w:val="000000"/>
                <w:sz w:val="20"/>
              </w:rPr>
              <w:t>µl Taq Polymerase</w:t>
            </w:r>
            <w:r w:rsidR="00BA3F1C">
              <w:rPr>
                <w:rFonts w:cs="Arial"/>
                <w:color w:val="000000"/>
                <w:sz w:val="20"/>
              </w:rPr>
              <w:br/>
            </w:r>
          </w:p>
          <w:p w14:paraId="568493B5" w14:textId="77777777" w:rsidR="00C85902" w:rsidRPr="005F0A70" w:rsidRDefault="00C85902" w:rsidP="005F0A70">
            <w:pPr>
              <w:spacing w:line="240" w:lineRule="auto"/>
              <w:rPr>
                <w:rFonts w:cs="Arial"/>
                <w:color w:val="000000"/>
                <w:sz w:val="20"/>
              </w:rPr>
            </w:pPr>
            <w:r w:rsidRPr="005F0A70">
              <w:rPr>
                <w:rFonts w:cs="Arial"/>
                <w:color w:val="000000"/>
                <w:sz w:val="20"/>
              </w:rPr>
              <w:sym w:font="Wingdings" w:char="F0E0"/>
            </w:r>
            <w:r w:rsidRPr="005F0A70">
              <w:rPr>
                <w:rFonts w:cs="Arial"/>
                <w:color w:val="000000"/>
                <w:sz w:val="20"/>
              </w:rPr>
              <w:t>ergeben 23</w:t>
            </w:r>
            <w:r w:rsidRPr="005F0A70">
              <w:rPr>
                <w:w w:val="50"/>
                <w:sz w:val="20"/>
              </w:rPr>
              <w:t> </w:t>
            </w:r>
            <w:r w:rsidRPr="005F0A70">
              <w:rPr>
                <w:rFonts w:cs="Arial"/>
                <w:color w:val="000000"/>
                <w:sz w:val="20"/>
              </w:rPr>
              <w:t>µl davon werden 15</w:t>
            </w:r>
            <w:r w:rsidRPr="005F0A70">
              <w:rPr>
                <w:w w:val="50"/>
                <w:sz w:val="20"/>
              </w:rPr>
              <w:t> </w:t>
            </w:r>
            <w:r w:rsidRPr="005F0A70">
              <w:rPr>
                <w:rFonts w:cs="Arial"/>
                <w:color w:val="000000"/>
                <w:sz w:val="20"/>
              </w:rPr>
              <w:t>µl mit 8</w:t>
            </w:r>
            <w:r w:rsidRPr="005F0A70">
              <w:rPr>
                <w:w w:val="50"/>
                <w:sz w:val="20"/>
              </w:rPr>
              <w:t> </w:t>
            </w:r>
            <w:r w:rsidRPr="005F0A70">
              <w:rPr>
                <w:rFonts w:cs="Arial"/>
                <w:color w:val="000000"/>
                <w:sz w:val="20"/>
              </w:rPr>
              <w:t>µl Sybr Green ergänzt</w:t>
            </w:r>
          </w:p>
        </w:tc>
        <w:tc>
          <w:tcPr>
            <w:tcW w:w="4094" w:type="dxa"/>
          </w:tcPr>
          <w:p w14:paraId="37235BF3" w14:textId="77777777" w:rsidR="00C85902" w:rsidRDefault="00C85902" w:rsidP="005F0A70">
            <w:pPr>
              <w:spacing w:line="240" w:lineRule="auto"/>
              <w:rPr>
                <w:rFonts w:cs="Arial"/>
                <w:color w:val="000000"/>
                <w:sz w:val="20"/>
              </w:rPr>
            </w:pPr>
          </w:p>
          <w:p w14:paraId="628B40E8" w14:textId="77777777" w:rsidR="00C85902" w:rsidRDefault="00C85902" w:rsidP="005F0A70">
            <w:pPr>
              <w:spacing w:line="240" w:lineRule="auto"/>
              <w:rPr>
                <w:rFonts w:cs="Arial"/>
                <w:color w:val="000000"/>
                <w:sz w:val="20"/>
              </w:rPr>
            </w:pPr>
          </w:p>
          <w:p w14:paraId="1345F700" w14:textId="77777777" w:rsidR="00C85902" w:rsidRDefault="00C85902" w:rsidP="005F0A70">
            <w:pPr>
              <w:spacing w:line="240" w:lineRule="auto"/>
              <w:rPr>
                <w:rFonts w:cs="Arial"/>
                <w:color w:val="000000"/>
                <w:sz w:val="20"/>
              </w:rPr>
            </w:pPr>
          </w:p>
          <w:p w14:paraId="7E2171FE" w14:textId="77777777" w:rsidR="00C85902" w:rsidRPr="005F0A70" w:rsidRDefault="00C85902" w:rsidP="002F4DCE">
            <w:pPr>
              <w:spacing w:line="240" w:lineRule="auto"/>
              <w:jc w:val="center"/>
              <w:rPr>
                <w:rFonts w:cs="Arial"/>
                <w:color w:val="000000"/>
                <w:sz w:val="20"/>
              </w:rPr>
            </w:pPr>
            <w:r w:rsidRPr="005F0A70">
              <w:rPr>
                <w:rFonts w:cs="Arial"/>
                <w:color w:val="000000"/>
                <w:sz w:val="20"/>
              </w:rPr>
              <w:t>Biontex REF M030-050</w:t>
            </w:r>
            <w:r w:rsidRPr="005F0A70">
              <w:rPr>
                <w:rFonts w:cs="Arial"/>
                <w:color w:val="000000"/>
                <w:sz w:val="20"/>
              </w:rPr>
              <w:br/>
            </w:r>
            <w:r w:rsidRPr="005F0A70">
              <w:rPr>
                <w:rFonts w:cs="Arial"/>
                <w:color w:val="000000"/>
                <w:sz w:val="20"/>
              </w:rPr>
              <w:br/>
            </w:r>
            <w:r w:rsidRPr="005F0A70">
              <w:rPr>
                <w:rFonts w:cs="Arial"/>
                <w:color w:val="000000"/>
                <w:sz w:val="20"/>
              </w:rPr>
              <w:br/>
            </w:r>
            <w:r w:rsidRPr="005F0A70">
              <w:rPr>
                <w:rFonts w:cs="Arial"/>
                <w:color w:val="000000"/>
                <w:sz w:val="20"/>
              </w:rPr>
              <w:br/>
            </w:r>
            <w:r w:rsidRPr="005F0A70">
              <w:rPr>
                <w:rFonts w:cs="Arial"/>
                <w:color w:val="000000"/>
                <w:sz w:val="20"/>
              </w:rPr>
              <w:br/>
            </w:r>
            <w:r w:rsidRPr="005F0A70">
              <w:rPr>
                <w:rFonts w:cs="Arial"/>
                <w:color w:val="000000"/>
                <w:sz w:val="20"/>
              </w:rPr>
              <w:br/>
              <w:t>Roche REF 04887352001</w:t>
            </w:r>
          </w:p>
        </w:tc>
      </w:tr>
      <w:tr w:rsidR="00C85902" w:rsidRPr="009230DA" w14:paraId="0E6F6CC2" w14:textId="77777777" w:rsidTr="009E4A78">
        <w:tc>
          <w:tcPr>
            <w:tcW w:w="4400" w:type="dxa"/>
          </w:tcPr>
          <w:p w14:paraId="1A97CD9A" w14:textId="77777777" w:rsidR="00C85902" w:rsidRPr="005F0A70" w:rsidRDefault="00C85902" w:rsidP="005F0A70">
            <w:pPr>
              <w:spacing w:line="240" w:lineRule="auto"/>
              <w:rPr>
                <w:rFonts w:cs="Arial"/>
                <w:color w:val="000000"/>
                <w:sz w:val="20"/>
              </w:rPr>
            </w:pPr>
            <w:r w:rsidRPr="005F0A70">
              <w:rPr>
                <w:rFonts w:cs="Arial"/>
                <w:color w:val="000000"/>
                <w:sz w:val="20"/>
              </w:rPr>
              <w:t xml:space="preserve">MasterMix TAG (für positiv Kontrolle): </w:t>
            </w:r>
            <w:r w:rsidRPr="005F0A70">
              <w:rPr>
                <w:rFonts w:cs="Arial"/>
                <w:color w:val="000000"/>
                <w:sz w:val="20"/>
              </w:rPr>
              <w:br/>
              <w:t>- 10</w:t>
            </w:r>
            <w:r w:rsidRPr="005F0A70">
              <w:rPr>
                <w:w w:val="50"/>
                <w:sz w:val="20"/>
              </w:rPr>
              <w:t> </w:t>
            </w:r>
            <w:r w:rsidRPr="005F0A70">
              <w:rPr>
                <w:rFonts w:cs="Arial"/>
                <w:color w:val="000000"/>
                <w:sz w:val="20"/>
              </w:rPr>
              <w:t>µl Sybr Green</w:t>
            </w:r>
            <w:r w:rsidRPr="005F0A70">
              <w:rPr>
                <w:rFonts w:cs="Arial"/>
                <w:color w:val="000000"/>
                <w:sz w:val="20"/>
              </w:rPr>
              <w:br/>
              <w:t>- 6</w:t>
            </w:r>
            <w:r w:rsidRPr="005F0A70">
              <w:rPr>
                <w:w w:val="50"/>
                <w:sz w:val="20"/>
              </w:rPr>
              <w:t> </w:t>
            </w:r>
            <w:r w:rsidRPr="005F0A70">
              <w:rPr>
                <w:rFonts w:cs="Arial"/>
                <w:color w:val="000000"/>
                <w:sz w:val="20"/>
              </w:rPr>
              <w:t>µl Non Template Water (NTW)</w:t>
            </w:r>
            <w:r w:rsidRPr="005F0A70">
              <w:rPr>
                <w:rFonts w:cs="Arial"/>
                <w:color w:val="000000"/>
                <w:sz w:val="20"/>
              </w:rPr>
              <w:br/>
              <w:t>- 2</w:t>
            </w:r>
            <w:r w:rsidRPr="005F0A70">
              <w:rPr>
                <w:w w:val="50"/>
                <w:sz w:val="20"/>
              </w:rPr>
              <w:t> </w:t>
            </w:r>
            <w:r w:rsidRPr="005F0A70">
              <w:rPr>
                <w:rFonts w:cs="Arial"/>
                <w:color w:val="000000"/>
                <w:sz w:val="20"/>
              </w:rPr>
              <w:t xml:space="preserve">µl TAG (Primermix) </w:t>
            </w:r>
          </w:p>
        </w:tc>
        <w:tc>
          <w:tcPr>
            <w:tcW w:w="4094" w:type="dxa"/>
          </w:tcPr>
          <w:p w14:paraId="4CB74D62" w14:textId="77777777" w:rsidR="00C85902" w:rsidRPr="005F0A70" w:rsidRDefault="00C85902" w:rsidP="005F0A70">
            <w:pPr>
              <w:spacing w:line="240" w:lineRule="auto"/>
              <w:rPr>
                <w:rFonts w:cs="Arial"/>
                <w:color w:val="000000"/>
                <w:sz w:val="20"/>
              </w:rPr>
            </w:pPr>
          </w:p>
          <w:p w14:paraId="2F208A89" w14:textId="77777777" w:rsidR="00C85902" w:rsidRPr="005F0A70" w:rsidRDefault="00C85902" w:rsidP="005F0A70">
            <w:pPr>
              <w:spacing w:line="240" w:lineRule="auto"/>
              <w:jc w:val="center"/>
              <w:rPr>
                <w:rFonts w:cs="Arial"/>
                <w:color w:val="000000"/>
                <w:sz w:val="20"/>
              </w:rPr>
            </w:pPr>
            <w:r w:rsidRPr="005F0A70">
              <w:rPr>
                <w:rFonts w:cs="Arial"/>
                <w:color w:val="000000"/>
                <w:sz w:val="20"/>
              </w:rPr>
              <w:t>Roche REF 04887352001</w:t>
            </w:r>
          </w:p>
        </w:tc>
      </w:tr>
      <w:tr w:rsidR="00C85902" w:rsidRPr="00600BBD" w14:paraId="5B0CE5B4" w14:textId="77777777" w:rsidTr="00DE0AE8">
        <w:tc>
          <w:tcPr>
            <w:tcW w:w="8494" w:type="dxa"/>
            <w:gridSpan w:val="2"/>
          </w:tcPr>
          <w:p w14:paraId="63AC10C9" w14:textId="77777777" w:rsidR="00C85902" w:rsidRPr="005F0A70" w:rsidRDefault="00C85902" w:rsidP="005F0A70">
            <w:pPr>
              <w:spacing w:line="240" w:lineRule="auto"/>
              <w:rPr>
                <w:rFonts w:cs="Arial"/>
                <w:color w:val="000000"/>
                <w:sz w:val="20"/>
                <w:lang w:val="en-GB"/>
              </w:rPr>
            </w:pPr>
            <w:r w:rsidRPr="005F0A70">
              <w:rPr>
                <w:rFonts w:cs="Arial"/>
                <w:color w:val="000000"/>
                <w:sz w:val="20"/>
                <w:lang w:val="en-GB"/>
              </w:rPr>
              <w:t>2</w:t>
            </w:r>
            <w:r w:rsidRPr="005F0A70">
              <w:rPr>
                <w:w w:val="50"/>
                <w:sz w:val="20"/>
                <w:lang w:val="en-GB"/>
              </w:rPr>
              <w:t> </w:t>
            </w:r>
            <w:r w:rsidRPr="005F0A70">
              <w:rPr>
                <w:rFonts w:cs="Arial"/>
                <w:color w:val="000000"/>
                <w:sz w:val="20"/>
                <w:lang w:val="en-GB"/>
              </w:rPr>
              <w:t>µl SMC (smooth muscle Cell cDNA)</w:t>
            </w:r>
          </w:p>
        </w:tc>
      </w:tr>
    </w:tbl>
    <w:p w14:paraId="18D51FCE" w14:textId="77777777" w:rsidR="00C85902" w:rsidRPr="005E5658" w:rsidRDefault="00C85902">
      <w:pPr>
        <w:pStyle w:val="Beschriftung"/>
        <w:rPr>
          <w:lang w:val="en-GB"/>
        </w:rPr>
      </w:pPr>
    </w:p>
    <w:p w14:paraId="4331ED83" w14:textId="0783D801" w:rsidR="00C85902" w:rsidRDefault="00C85902" w:rsidP="0012772D">
      <w:pPr>
        <w:rPr>
          <w:rFonts w:cs="Arial"/>
          <w:color w:val="000000"/>
          <w:szCs w:val="24"/>
        </w:rPr>
      </w:pPr>
      <w:r>
        <w:rPr>
          <w:rFonts w:cs="Arial"/>
          <w:color w:val="000000"/>
          <w:szCs w:val="24"/>
        </w:rPr>
        <w:t xml:space="preserve">Zunächst wurden sämtliche in </w:t>
      </w:r>
      <w:r>
        <w:rPr>
          <w:rFonts w:cs="Arial"/>
          <w:color w:val="000000"/>
          <w:szCs w:val="24"/>
        </w:rPr>
        <w:fldChar w:fldCharType="begin"/>
      </w:r>
      <w:r>
        <w:rPr>
          <w:rFonts w:cs="Arial"/>
          <w:color w:val="000000"/>
          <w:szCs w:val="24"/>
        </w:rPr>
        <w:instrText xml:space="preserve"> REF _Ref120299494 \h </w:instrText>
      </w:r>
      <w:r>
        <w:rPr>
          <w:rFonts w:cs="Arial"/>
          <w:color w:val="000000"/>
          <w:szCs w:val="24"/>
        </w:rPr>
      </w:r>
      <w:r>
        <w:rPr>
          <w:rFonts w:cs="Arial"/>
          <w:color w:val="000000"/>
          <w:szCs w:val="24"/>
        </w:rPr>
        <w:fldChar w:fldCharType="separate"/>
      </w:r>
      <w:r w:rsidR="00791554">
        <w:t xml:space="preserve">Tabelle </w:t>
      </w:r>
      <w:r w:rsidR="00791554">
        <w:rPr>
          <w:noProof/>
        </w:rPr>
        <w:t>22</w:t>
      </w:r>
      <w:r>
        <w:rPr>
          <w:rFonts w:cs="Arial"/>
          <w:color w:val="000000"/>
          <w:szCs w:val="24"/>
        </w:rPr>
        <w:fldChar w:fldCharType="end"/>
      </w:r>
      <w:r>
        <w:rPr>
          <w:rFonts w:cs="Arial"/>
          <w:color w:val="000000"/>
          <w:szCs w:val="24"/>
        </w:rPr>
        <w:t xml:space="preserve"> aufgeführten Substanzen aufgetaut, gevortext, zentrifugiert, und auf Eis gelagert. Dann wurde zunächst der Mastermix für die Positivkontrolle hergestellt Nach dem Zusammenpipettieren von Sybr Green, NTW und TAG in ein 0,5</w:t>
      </w:r>
      <w:r w:rsidRPr="008C4356">
        <w:rPr>
          <w:w w:val="50"/>
        </w:rPr>
        <w:t> </w:t>
      </w:r>
      <w:r>
        <w:rPr>
          <w:rFonts w:cs="Arial"/>
          <w:color w:val="000000"/>
          <w:szCs w:val="24"/>
        </w:rPr>
        <w:t>µl Zentrifugationsröhrchen, wurden die 18</w:t>
      </w:r>
      <w:r w:rsidRPr="008C4356">
        <w:rPr>
          <w:w w:val="50"/>
        </w:rPr>
        <w:t> </w:t>
      </w:r>
      <w:r>
        <w:rPr>
          <w:rFonts w:cs="Arial"/>
          <w:color w:val="000000"/>
          <w:szCs w:val="24"/>
        </w:rPr>
        <w:t xml:space="preserve">µl Mastermix gevortext und nochmals kurz zentrifugiert, bevor sie wieder auf Eis gelagert wurden. </w:t>
      </w:r>
    </w:p>
    <w:p w14:paraId="6D71A5F6" w14:textId="77777777" w:rsidR="00C85902" w:rsidRDefault="00C85902" w:rsidP="0012772D">
      <w:pPr>
        <w:rPr>
          <w:rFonts w:cs="Arial"/>
          <w:color w:val="000000"/>
          <w:szCs w:val="24"/>
        </w:rPr>
      </w:pPr>
      <w:r>
        <w:rPr>
          <w:rFonts w:cs="Arial"/>
          <w:color w:val="000000"/>
          <w:szCs w:val="24"/>
        </w:rPr>
        <w:t>Im nächsten Schritt wurde der Mastermix des MycoSPY</w:t>
      </w:r>
      <w:r w:rsidRPr="00774A8A">
        <w:rPr>
          <w:rFonts w:cs="Arial"/>
          <w:color w:val="000000"/>
          <w:szCs w:val="24"/>
          <w:vertAlign w:val="superscript"/>
        </w:rPr>
        <w:t>®</w:t>
      </w:r>
      <w:r>
        <w:rPr>
          <w:rFonts w:cs="Arial"/>
          <w:color w:val="000000"/>
          <w:szCs w:val="24"/>
        </w:rPr>
        <w:t xml:space="preserve"> mit einer Pipette in einem weiteren 0,5</w:t>
      </w:r>
      <w:r w:rsidRPr="008C4356">
        <w:rPr>
          <w:w w:val="50"/>
        </w:rPr>
        <w:t> </w:t>
      </w:r>
      <w:r>
        <w:rPr>
          <w:rFonts w:cs="Arial"/>
          <w:color w:val="000000"/>
          <w:szCs w:val="24"/>
        </w:rPr>
        <w:t>µl Zentrifugationsröhrchen zubereitet. Die oben angegebene Mengenangabe der Substanzen des MycoSPY</w:t>
      </w:r>
      <w:r w:rsidRPr="00774A8A">
        <w:rPr>
          <w:rFonts w:cs="Arial"/>
          <w:color w:val="000000"/>
          <w:szCs w:val="24"/>
          <w:vertAlign w:val="superscript"/>
        </w:rPr>
        <w:t>®</w:t>
      </w:r>
      <w:r>
        <w:rPr>
          <w:rFonts w:cs="Arial"/>
          <w:color w:val="000000"/>
          <w:szCs w:val="24"/>
        </w:rPr>
        <w:t xml:space="preserve"> Mastermix ergab in Summe </w:t>
      </w:r>
      <w:r w:rsidRPr="00FC0995">
        <w:t>23</w:t>
      </w:r>
      <w:r w:rsidRPr="008C4356">
        <w:rPr>
          <w:w w:val="50"/>
        </w:rPr>
        <w:t> </w:t>
      </w:r>
      <w:r w:rsidRPr="00FC0995">
        <w:t>µl</w:t>
      </w:r>
      <w:r>
        <w:t>. Man braucht pro Probe jeweils 15</w:t>
      </w:r>
      <w:r w:rsidRPr="008C4356">
        <w:rPr>
          <w:w w:val="50"/>
        </w:rPr>
        <w:t> </w:t>
      </w:r>
      <w:r>
        <w:rPr>
          <w:rFonts w:cs="Arial"/>
        </w:rPr>
        <w:t xml:space="preserve">µl dieses Mastermixes. </w:t>
      </w:r>
      <w:r>
        <w:rPr>
          <w:rFonts w:cs="Arial"/>
          <w:color w:val="000000"/>
          <w:szCs w:val="24"/>
        </w:rPr>
        <w:t>Diese wurden in ein neues Zentrifugationsröhrchen überführt und pro Probe mittels Pipette mit 8</w:t>
      </w:r>
      <w:r w:rsidRPr="008C4356">
        <w:rPr>
          <w:w w:val="50"/>
        </w:rPr>
        <w:t> </w:t>
      </w:r>
      <w:r>
        <w:rPr>
          <w:rFonts w:cs="Arial"/>
          <w:color w:val="000000"/>
          <w:szCs w:val="24"/>
        </w:rPr>
        <w:t xml:space="preserve">µl Sybr Green ergänzt, anschließend gevortext, abzentrifugiert und auf Eis gelagert. </w:t>
      </w:r>
    </w:p>
    <w:p w14:paraId="3BF8B35F" w14:textId="77777777" w:rsidR="00C85902" w:rsidRPr="0012772D" w:rsidRDefault="00C85902" w:rsidP="0012772D">
      <w:pPr>
        <w:rPr>
          <w:rFonts w:cs="Arial"/>
          <w:color w:val="000000"/>
          <w:szCs w:val="24"/>
        </w:rPr>
      </w:pPr>
      <w:r>
        <w:rPr>
          <w:rFonts w:cs="Arial"/>
          <w:color w:val="000000"/>
          <w:szCs w:val="24"/>
        </w:rPr>
        <w:t>Nun wurde auf der PCR-Platte, nach dem zuvor in einem Layout erstellten Schema, pipettiert. Zuerst wurde für die Negativkontrolle 2</w:t>
      </w:r>
      <w:r w:rsidRPr="008C4356">
        <w:rPr>
          <w:w w:val="50"/>
        </w:rPr>
        <w:t> </w:t>
      </w:r>
      <w:r>
        <w:rPr>
          <w:rFonts w:cs="Arial"/>
          <w:color w:val="000000"/>
          <w:szCs w:val="24"/>
        </w:rPr>
        <w:t>µl NTW in einem Well vorgelegt, anschließend mit einer neuen Pipettenspitze 2</w:t>
      </w:r>
      <w:r w:rsidRPr="008C4356">
        <w:rPr>
          <w:w w:val="50"/>
        </w:rPr>
        <w:t> </w:t>
      </w:r>
      <w:r>
        <w:rPr>
          <w:rFonts w:cs="Arial"/>
          <w:color w:val="000000"/>
          <w:szCs w:val="24"/>
        </w:rPr>
        <w:t>µl SMC in einem neuen Well. Dann folgten 2</w:t>
      </w:r>
      <w:r w:rsidRPr="008C4356">
        <w:rPr>
          <w:w w:val="50"/>
        </w:rPr>
        <w:t> </w:t>
      </w:r>
      <w:r>
        <w:rPr>
          <w:rFonts w:cs="Arial"/>
          <w:color w:val="000000"/>
          <w:szCs w:val="24"/>
        </w:rPr>
        <w:t>µl</w:t>
      </w:r>
      <w:r w:rsidRPr="00FC0995">
        <w:rPr>
          <w:rFonts w:cs="Arial"/>
          <w:color w:val="000000"/>
          <w:szCs w:val="24"/>
        </w:rPr>
        <w:t xml:space="preserve"> </w:t>
      </w:r>
      <w:r>
        <w:rPr>
          <w:rFonts w:cs="Arial"/>
          <w:color w:val="000000"/>
          <w:szCs w:val="24"/>
        </w:rPr>
        <w:t>pro Probe mit einer frischen Pipettenspitze in ein neues Well. Nachdem die Proben vorgelegt waren, wurde im nächsten Schritt zunächst 18</w:t>
      </w:r>
      <w:r w:rsidRPr="008C4356">
        <w:rPr>
          <w:w w:val="50"/>
        </w:rPr>
        <w:t> </w:t>
      </w:r>
      <w:r>
        <w:rPr>
          <w:rFonts w:cs="Arial"/>
          <w:color w:val="000000"/>
          <w:szCs w:val="24"/>
        </w:rPr>
        <w:t>µl des Mastermix der Positivkontrolle (TAG) an den Rand des SMC Wells (Positivkontrolle) hinzugeben. Dann wurde mit einer frischen Pipettenspitze 23</w:t>
      </w:r>
      <w:r w:rsidRPr="008C4356">
        <w:rPr>
          <w:w w:val="50"/>
        </w:rPr>
        <w:t> </w:t>
      </w:r>
      <w:r>
        <w:rPr>
          <w:rFonts w:cs="Arial"/>
          <w:color w:val="000000"/>
          <w:szCs w:val="24"/>
        </w:rPr>
        <w:t>µl des MycoSPY</w:t>
      </w:r>
      <w:r w:rsidRPr="00DF6039">
        <w:rPr>
          <w:rFonts w:cs="Arial"/>
          <w:color w:val="000000"/>
          <w:szCs w:val="24"/>
          <w:vertAlign w:val="superscript"/>
        </w:rPr>
        <w:t>®</w:t>
      </w:r>
      <w:r>
        <w:rPr>
          <w:rFonts w:cs="Arial"/>
          <w:color w:val="000000"/>
          <w:szCs w:val="24"/>
        </w:rPr>
        <w:t xml:space="preserve"> Mastermix an den Rand des NTW Wells (negativ Kontrolle) hinzugegeben und im Folgenden je 23</w:t>
      </w:r>
      <w:r w:rsidRPr="008C4356">
        <w:rPr>
          <w:w w:val="50"/>
        </w:rPr>
        <w:t> </w:t>
      </w:r>
      <w:r>
        <w:rPr>
          <w:rFonts w:cs="Arial"/>
          <w:color w:val="000000"/>
          <w:szCs w:val="24"/>
        </w:rPr>
        <w:t>µl MycoSPY</w:t>
      </w:r>
      <w:r w:rsidRPr="00DF6039">
        <w:rPr>
          <w:rFonts w:cs="Arial"/>
          <w:color w:val="000000"/>
          <w:szCs w:val="24"/>
          <w:vertAlign w:val="superscript"/>
        </w:rPr>
        <w:t>®</w:t>
      </w:r>
      <w:r>
        <w:rPr>
          <w:rFonts w:cs="Arial"/>
          <w:color w:val="000000"/>
          <w:szCs w:val="24"/>
        </w:rPr>
        <w:t>-Mastermix an den Well-Rand jeder Probe. Nachdem jedes Well sowohl Probe als auch seinen Mastermix enthielt wurde auf der PCR Platte die dafür vorgesehene Folie angebracht und die Platte 1 Minute bei 1000</w:t>
      </w:r>
      <w:r w:rsidRPr="008C4356">
        <w:rPr>
          <w:w w:val="50"/>
        </w:rPr>
        <w:t> </w:t>
      </w:r>
      <w:r>
        <w:rPr>
          <w:rFonts w:cs="Arial"/>
          <w:color w:val="000000"/>
          <w:szCs w:val="24"/>
        </w:rPr>
        <w:t>rpm zentrifugiert.</w:t>
      </w:r>
    </w:p>
    <w:p w14:paraId="4F0617A8" w14:textId="77777777" w:rsidR="00C85902" w:rsidRDefault="00C85902" w:rsidP="001A3324">
      <w:pPr>
        <w:rPr>
          <w:rFonts w:cs="Arial"/>
          <w:color w:val="000000"/>
          <w:szCs w:val="24"/>
        </w:rPr>
      </w:pPr>
      <w:r w:rsidRPr="009230DA">
        <w:rPr>
          <w:rFonts w:cs="Arial"/>
          <w:b/>
          <w:bCs/>
          <w:color w:val="000000"/>
          <w:szCs w:val="24"/>
          <w:u w:val="single"/>
        </w:rPr>
        <w:t>PCR Programm im Lite Cycler</w:t>
      </w:r>
      <w:r>
        <w:rPr>
          <w:rFonts w:cs="Arial"/>
          <w:color w:val="000000"/>
          <w:szCs w:val="24"/>
        </w:rPr>
        <w:t>:</w:t>
      </w:r>
    </w:p>
    <w:p w14:paraId="37C66132" w14:textId="77777777" w:rsidR="00C85902" w:rsidRDefault="00C85902" w:rsidP="00520665">
      <w:pPr>
        <w:pStyle w:val="Listenabsatz"/>
        <w:numPr>
          <w:ilvl w:val="0"/>
          <w:numId w:val="5"/>
        </w:numPr>
        <w:rPr>
          <w:rFonts w:cs="Arial"/>
          <w:color w:val="000000"/>
          <w:szCs w:val="24"/>
        </w:rPr>
      </w:pPr>
      <w:r>
        <w:rPr>
          <w:rFonts w:cs="Arial"/>
          <w:color w:val="000000"/>
          <w:szCs w:val="24"/>
        </w:rPr>
        <w:t>1 Zyklus Vordenaturierung für 60</w:t>
      </w:r>
      <w:r w:rsidRPr="008C4356">
        <w:rPr>
          <w:w w:val="50"/>
        </w:rPr>
        <w:t> </w:t>
      </w:r>
      <w:r>
        <w:rPr>
          <w:rFonts w:cs="Arial"/>
          <w:color w:val="000000"/>
          <w:szCs w:val="24"/>
        </w:rPr>
        <w:t>Sekunden bei 94</w:t>
      </w:r>
      <w:r w:rsidRPr="008C4356">
        <w:rPr>
          <w:w w:val="50"/>
        </w:rPr>
        <w:t> </w:t>
      </w:r>
      <w:r>
        <w:rPr>
          <w:rFonts w:cs="Arial"/>
          <w:color w:val="000000"/>
          <w:szCs w:val="24"/>
        </w:rPr>
        <w:t xml:space="preserve">°C </w:t>
      </w:r>
    </w:p>
    <w:p w14:paraId="508B9AD9" w14:textId="77777777" w:rsidR="00C85902" w:rsidRDefault="00C85902" w:rsidP="00520665">
      <w:pPr>
        <w:pStyle w:val="Listenabsatz"/>
        <w:numPr>
          <w:ilvl w:val="0"/>
          <w:numId w:val="5"/>
        </w:numPr>
        <w:rPr>
          <w:rFonts w:cs="Arial"/>
          <w:color w:val="000000"/>
          <w:szCs w:val="24"/>
        </w:rPr>
      </w:pPr>
      <w:r>
        <w:rPr>
          <w:rFonts w:cs="Arial"/>
          <w:color w:val="000000"/>
          <w:szCs w:val="24"/>
        </w:rPr>
        <w:t>35 Zyklen bestehend aus:</w:t>
      </w:r>
      <w:r>
        <w:rPr>
          <w:rFonts w:cs="Arial"/>
          <w:color w:val="000000"/>
          <w:szCs w:val="24"/>
        </w:rPr>
        <w:br/>
        <w:t>- Denaturierung für 30</w:t>
      </w:r>
      <w:r w:rsidRPr="008C4356">
        <w:rPr>
          <w:w w:val="50"/>
        </w:rPr>
        <w:t> </w:t>
      </w:r>
      <w:r>
        <w:rPr>
          <w:rFonts w:cs="Arial"/>
          <w:color w:val="000000"/>
          <w:szCs w:val="24"/>
        </w:rPr>
        <w:t>Sekunden bei 94</w:t>
      </w:r>
      <w:r w:rsidRPr="008C4356">
        <w:rPr>
          <w:w w:val="50"/>
        </w:rPr>
        <w:t> </w:t>
      </w:r>
      <w:r>
        <w:rPr>
          <w:rFonts w:cs="Arial"/>
          <w:color w:val="000000"/>
          <w:szCs w:val="24"/>
        </w:rPr>
        <w:t>°C</w:t>
      </w:r>
      <w:r>
        <w:rPr>
          <w:rFonts w:cs="Arial"/>
          <w:color w:val="000000"/>
          <w:szCs w:val="24"/>
        </w:rPr>
        <w:br/>
        <w:t>- Primerannealing für 30</w:t>
      </w:r>
      <w:r w:rsidRPr="008C4356">
        <w:rPr>
          <w:w w:val="50"/>
        </w:rPr>
        <w:t> </w:t>
      </w:r>
      <w:r>
        <w:rPr>
          <w:rFonts w:cs="Arial"/>
          <w:color w:val="000000"/>
          <w:szCs w:val="24"/>
        </w:rPr>
        <w:t>Sekunden bei 62</w:t>
      </w:r>
      <w:r w:rsidRPr="008C4356">
        <w:rPr>
          <w:w w:val="50"/>
        </w:rPr>
        <w:t> </w:t>
      </w:r>
      <w:r>
        <w:rPr>
          <w:rFonts w:cs="Arial"/>
          <w:color w:val="000000"/>
          <w:szCs w:val="24"/>
        </w:rPr>
        <w:t xml:space="preserve">°C </w:t>
      </w:r>
      <w:r>
        <w:rPr>
          <w:rFonts w:cs="Arial"/>
          <w:color w:val="000000"/>
          <w:szCs w:val="24"/>
        </w:rPr>
        <w:br/>
        <w:t>- Polymerisation für 60</w:t>
      </w:r>
      <w:r w:rsidRPr="008C4356">
        <w:rPr>
          <w:w w:val="50"/>
        </w:rPr>
        <w:t> </w:t>
      </w:r>
      <w:r>
        <w:rPr>
          <w:rFonts w:cs="Arial"/>
          <w:color w:val="000000"/>
          <w:szCs w:val="24"/>
        </w:rPr>
        <w:t>Sekunden bei 72</w:t>
      </w:r>
      <w:r w:rsidRPr="008C4356">
        <w:rPr>
          <w:w w:val="50"/>
        </w:rPr>
        <w:t> </w:t>
      </w:r>
      <w:r>
        <w:rPr>
          <w:rFonts w:cs="Arial"/>
          <w:color w:val="000000"/>
          <w:szCs w:val="24"/>
        </w:rPr>
        <w:t>°C</w:t>
      </w:r>
    </w:p>
    <w:p w14:paraId="16C04EF3" w14:textId="77777777" w:rsidR="00C85902" w:rsidRPr="00520665" w:rsidRDefault="00C85902" w:rsidP="00520665">
      <w:pPr>
        <w:pStyle w:val="Listenabsatz"/>
        <w:numPr>
          <w:ilvl w:val="0"/>
          <w:numId w:val="5"/>
        </w:numPr>
        <w:rPr>
          <w:rFonts w:cs="Arial"/>
          <w:color w:val="000000"/>
          <w:szCs w:val="24"/>
        </w:rPr>
      </w:pPr>
      <w:r>
        <w:rPr>
          <w:rFonts w:cs="Arial"/>
          <w:color w:val="000000"/>
          <w:szCs w:val="24"/>
        </w:rPr>
        <w:t>1 Zyklus endgültige Verlängerung für 180</w:t>
      </w:r>
      <w:r w:rsidRPr="008C4356">
        <w:rPr>
          <w:w w:val="50"/>
        </w:rPr>
        <w:t> </w:t>
      </w:r>
      <w:r>
        <w:rPr>
          <w:rFonts w:cs="Arial"/>
          <w:color w:val="000000"/>
          <w:szCs w:val="24"/>
        </w:rPr>
        <w:t>Sekunden bei 72</w:t>
      </w:r>
      <w:r w:rsidRPr="008C4356">
        <w:rPr>
          <w:w w:val="50"/>
        </w:rPr>
        <w:t> </w:t>
      </w:r>
      <w:r>
        <w:rPr>
          <w:rFonts w:cs="Arial"/>
          <w:color w:val="000000"/>
          <w:szCs w:val="24"/>
        </w:rPr>
        <w:t>°C</w:t>
      </w:r>
    </w:p>
    <w:p w14:paraId="6AA18B21" w14:textId="77777777" w:rsidR="00C85902" w:rsidRDefault="00C85902" w:rsidP="001A3324">
      <w:pPr>
        <w:rPr>
          <w:rFonts w:cs="Arial"/>
          <w:color w:val="000000"/>
          <w:szCs w:val="24"/>
        </w:rPr>
      </w:pPr>
      <w:r>
        <w:rPr>
          <w:rFonts w:cs="Arial"/>
          <w:color w:val="000000"/>
          <w:szCs w:val="24"/>
        </w:rPr>
        <w:t>Dies diente dazu, die vorhandene Mykoplasmen DNA aus dem Überstand hochzuamplifizieren, damit sie später im Gel nachgewiesen werden können. Die Platte mit den Proben konnte fortan bei -20</w:t>
      </w:r>
      <w:r w:rsidRPr="008C4356">
        <w:rPr>
          <w:w w:val="50"/>
        </w:rPr>
        <w:t> </w:t>
      </w:r>
      <w:r>
        <w:rPr>
          <w:rFonts w:cs="Arial"/>
          <w:color w:val="000000"/>
          <w:szCs w:val="24"/>
        </w:rPr>
        <w:t xml:space="preserve">°C gelagert werden. </w:t>
      </w:r>
    </w:p>
    <w:p w14:paraId="52635C6F" w14:textId="77777777" w:rsidR="00C85902" w:rsidRDefault="00C85902" w:rsidP="00520665">
      <w:pPr>
        <w:pStyle w:val="berschrift3"/>
      </w:pPr>
      <w:bookmarkStart w:id="134" w:name="_Toc121158672"/>
      <w:r>
        <w:t>Agarosegel</w:t>
      </w:r>
      <w:bookmarkEnd w:id="134"/>
    </w:p>
    <w:p w14:paraId="48DDFA4C" w14:textId="0AFBA82A" w:rsidR="00C85902" w:rsidRPr="00E564E4" w:rsidRDefault="00C85902" w:rsidP="009230DA">
      <w:pPr>
        <w:rPr>
          <w:rFonts w:cs="Arial"/>
        </w:rPr>
      </w:pPr>
      <w:r>
        <w:t>Zur Herstellung des Agarosegels wurde 1</w:t>
      </w:r>
      <w:r w:rsidRPr="008C4356">
        <w:rPr>
          <w:w w:val="50"/>
        </w:rPr>
        <w:t> </w:t>
      </w:r>
      <w:r>
        <w:t>g Agarose zusammen mit 50</w:t>
      </w:r>
      <w:r w:rsidRPr="008C4356">
        <w:rPr>
          <w:w w:val="50"/>
        </w:rPr>
        <w:t> </w:t>
      </w:r>
      <w:r>
        <w:t xml:space="preserve">ml TBE-Puffer in einem Erlenmeyerkolben und einem Rührfisch erhitzt, bis sich die Agarose vollständig gelöst hatte </w:t>
      </w:r>
      <w:r>
        <w:rPr>
          <w:rFonts w:cs="Arial"/>
        </w:rPr>
        <w:t>(</w:t>
      </w:r>
      <w:r>
        <w:rPr>
          <w:rFonts w:cs="Arial"/>
        </w:rPr>
        <w:fldChar w:fldCharType="begin"/>
      </w:r>
      <w:r>
        <w:rPr>
          <w:rFonts w:cs="Arial"/>
        </w:rPr>
        <w:instrText xml:space="preserve"> REF _Ref120299760 \h </w:instrText>
      </w:r>
      <w:r>
        <w:rPr>
          <w:rFonts w:cs="Arial"/>
        </w:rPr>
      </w:r>
      <w:r>
        <w:rPr>
          <w:rFonts w:cs="Arial"/>
        </w:rPr>
        <w:fldChar w:fldCharType="separate"/>
      </w:r>
      <w:r w:rsidR="00791554">
        <w:t xml:space="preserve">Tabelle </w:t>
      </w:r>
      <w:r w:rsidR="00791554">
        <w:rPr>
          <w:noProof/>
        </w:rPr>
        <w:t>23</w:t>
      </w:r>
      <w:r>
        <w:rPr>
          <w:rFonts w:cs="Arial"/>
        </w:rPr>
        <w:fldChar w:fldCharType="end"/>
      </w:r>
      <w:r>
        <w:rPr>
          <w:rFonts w:cs="Arial"/>
        </w:rPr>
        <w:t>)</w:t>
      </w:r>
      <w:r>
        <w:t>. Dann wurde mittels Rührfisch 5</w:t>
      </w:r>
      <w:r w:rsidRPr="008C4356">
        <w:rPr>
          <w:w w:val="50"/>
        </w:rPr>
        <w:t> </w:t>
      </w:r>
      <w:r>
        <w:rPr>
          <w:rFonts w:cs="Arial"/>
        </w:rPr>
        <w:t xml:space="preserve">µl </w:t>
      </w:r>
      <w:r w:rsidRPr="00DE27C7">
        <w:t>Gel Red Acid</w:t>
      </w:r>
      <w:r>
        <w:rPr>
          <w:rFonts w:cs="Arial"/>
        </w:rPr>
        <w:t xml:space="preserve"> eingerührt. Das Gel wurde in der Kammer, bei gesteckten 10 Kammerkamm, gegossen und 30</w:t>
      </w:r>
      <w:r w:rsidRPr="008C4356">
        <w:rPr>
          <w:w w:val="50"/>
        </w:rPr>
        <w:t> </w:t>
      </w:r>
      <w:r>
        <w:rPr>
          <w:rFonts w:cs="Arial"/>
        </w:rPr>
        <w:t>Minuten ausgehärtet. Nach dieser Zeit wurde der Kamm entfernt und die Kammer mit TBE bis zur Markierung befüllt, sodass das gesamte Gel bedeckt war. Nun wurden mit einer Eppendorf Pipette in einer 96 Well Rundbodenplatte jeweils 4</w:t>
      </w:r>
      <w:r w:rsidRPr="008C4356">
        <w:rPr>
          <w:w w:val="50"/>
        </w:rPr>
        <w:t> </w:t>
      </w:r>
      <w:r>
        <w:rPr>
          <w:rFonts w:cs="Arial"/>
        </w:rPr>
        <w:t>µl Ladepuffer pro Probe vorgelegt und diese wurden mit 10</w:t>
      </w:r>
      <w:r w:rsidRPr="008C4356">
        <w:rPr>
          <w:w w:val="50"/>
        </w:rPr>
        <w:t> </w:t>
      </w:r>
      <w:r>
        <w:rPr>
          <w:rFonts w:cs="Arial"/>
        </w:rPr>
        <w:t>µl Probe ergänzt und durch mehrfaches Auf- und Abpipettieren gut gemischt. In die erste Tasche des Gels wurden mit einer Pipette 10</w:t>
      </w:r>
      <w:r w:rsidRPr="008C4356">
        <w:rPr>
          <w:w w:val="50"/>
        </w:rPr>
        <w:t> </w:t>
      </w:r>
      <w:r>
        <w:rPr>
          <w:rFonts w:cs="Arial"/>
        </w:rPr>
        <w:t>µl 100</w:t>
      </w:r>
      <w:r w:rsidRPr="008C4356">
        <w:rPr>
          <w:w w:val="50"/>
        </w:rPr>
        <w:t> </w:t>
      </w:r>
      <w:r>
        <w:rPr>
          <w:rFonts w:cs="Arial"/>
        </w:rPr>
        <w:t>bp Ladder zum Größenvergleich mit den PCR-Produkten gegeben. Danach wurden immer mit frischen Pipettenspitzen zügig 8</w:t>
      </w:r>
      <w:r w:rsidRPr="008C4356">
        <w:rPr>
          <w:w w:val="50"/>
        </w:rPr>
        <w:t> </w:t>
      </w:r>
      <w:r>
        <w:rPr>
          <w:rFonts w:cs="Arial"/>
        </w:rPr>
        <w:t>µl pro Probe aus dem Gemisch aus der 96 Well Platte in die einzelnen Taschen übertragen und die Kammer geschlossen und für ca. 50</w:t>
      </w:r>
      <w:r w:rsidRPr="008C4356">
        <w:rPr>
          <w:w w:val="50"/>
        </w:rPr>
        <w:t> </w:t>
      </w:r>
      <w:r>
        <w:rPr>
          <w:rFonts w:cs="Arial"/>
        </w:rPr>
        <w:t>Minuten bei 100V und 48</w:t>
      </w:r>
      <w:r w:rsidRPr="008C4356">
        <w:rPr>
          <w:w w:val="50"/>
        </w:rPr>
        <w:t> </w:t>
      </w:r>
      <w:r>
        <w:rPr>
          <w:rFonts w:cs="Arial"/>
        </w:rPr>
        <w:t>mA an die Elektrophorese angeschlossen, bis die Proben zu 4/5 der Länge des Gels durchwandert hatten. Dann wurden die Banden unter UV-Licht betrachtet. Die Kontrollbande lag bei 700</w:t>
      </w:r>
      <w:r w:rsidRPr="008C4356">
        <w:rPr>
          <w:w w:val="50"/>
        </w:rPr>
        <w:t> </w:t>
      </w:r>
      <w:r>
        <w:rPr>
          <w:rFonts w:cs="Arial"/>
        </w:rPr>
        <w:t>bp und die bei Mykoplasmen Infektion erwartete Bande lag bei 500-520</w:t>
      </w:r>
      <w:r w:rsidRPr="008C4356">
        <w:rPr>
          <w:w w:val="50"/>
        </w:rPr>
        <w:t> </w:t>
      </w:r>
      <w:r>
        <w:rPr>
          <w:rFonts w:cs="Arial"/>
        </w:rPr>
        <w:t xml:space="preserve">bp. </w:t>
      </w:r>
    </w:p>
    <w:p w14:paraId="06D805A3" w14:textId="648A2FA3" w:rsidR="00C85902" w:rsidRPr="005F0A70" w:rsidRDefault="00C85902" w:rsidP="00774A8A">
      <w:pPr>
        <w:pStyle w:val="Beschriftung"/>
        <w:keepNext/>
        <w:rPr>
          <w:vanish/>
          <w:specVanish/>
        </w:rPr>
      </w:pPr>
      <w:bookmarkStart w:id="135" w:name="_Ref120299760"/>
      <w:bookmarkStart w:id="136" w:name="_Toc120649865"/>
      <w:r>
        <w:t xml:space="preserve">Tabelle </w:t>
      </w:r>
      <w:r>
        <w:fldChar w:fldCharType="begin"/>
      </w:r>
      <w:r>
        <w:instrText xml:space="preserve"> SEQ Tabelle \* ARABIC </w:instrText>
      </w:r>
      <w:r>
        <w:fldChar w:fldCharType="separate"/>
      </w:r>
      <w:r w:rsidR="00791554">
        <w:rPr>
          <w:noProof/>
        </w:rPr>
        <w:t>23</w:t>
      </w:r>
      <w:r>
        <w:rPr>
          <w:noProof/>
        </w:rPr>
        <w:fldChar w:fldCharType="end"/>
      </w:r>
      <w:bookmarkEnd w:id="135"/>
      <w:r>
        <w:t xml:space="preserve"> </w:t>
      </w:r>
      <w:r w:rsidRPr="0054385D">
        <w:t>Material zur Herstellung des Agarosegel</w:t>
      </w:r>
      <w:r>
        <w:t>s</w:t>
      </w:r>
      <w:bookmarkEnd w:id="136"/>
    </w:p>
    <w:p w14:paraId="285CF165" w14:textId="77777777" w:rsidR="00C85902" w:rsidRDefault="00C85902" w:rsidP="00774A8A">
      <w:pPr>
        <w:pStyle w:val="Beschriftung"/>
        <w:keepNext/>
      </w:pPr>
      <w:r>
        <w:br/>
        <w:t xml:space="preserve">In dieser Tabelle sind das Material sowie die Mengen- und Herstellerangaben aufgeführt. </w:t>
      </w:r>
      <w:r>
        <w:br/>
        <w:t xml:space="preserve">bp: Basenpaare PCR: Polymerase-Kettenreaktion </w:t>
      </w:r>
    </w:p>
    <w:tbl>
      <w:tblPr>
        <w:tblStyle w:val="Tabellenraster"/>
        <w:tblW w:w="0" w:type="auto"/>
        <w:tblLook w:val="04A0" w:firstRow="1" w:lastRow="0" w:firstColumn="1" w:lastColumn="0" w:noHBand="0" w:noVBand="1"/>
      </w:tblPr>
      <w:tblGrid>
        <w:gridCol w:w="2127"/>
        <w:gridCol w:w="2127"/>
        <w:gridCol w:w="4240"/>
      </w:tblGrid>
      <w:tr w:rsidR="00C85902" w14:paraId="059079BB" w14:textId="77777777" w:rsidTr="00994645">
        <w:trPr>
          <w:trHeight w:val="198"/>
        </w:trPr>
        <w:tc>
          <w:tcPr>
            <w:tcW w:w="2127" w:type="dxa"/>
            <w:shd w:val="clear" w:color="auto" w:fill="E7E6E6" w:themeFill="background2"/>
          </w:tcPr>
          <w:p w14:paraId="10A5657E" w14:textId="77777777" w:rsidR="00C85902" w:rsidRPr="005F0A70" w:rsidRDefault="00C85902" w:rsidP="005F0A70">
            <w:pPr>
              <w:spacing w:line="240" w:lineRule="auto"/>
              <w:jc w:val="center"/>
              <w:rPr>
                <w:b/>
                <w:bCs/>
                <w:sz w:val="20"/>
                <w:szCs w:val="20"/>
              </w:rPr>
            </w:pPr>
            <w:r w:rsidRPr="005F0A70">
              <w:rPr>
                <w:b/>
                <w:bCs/>
                <w:sz w:val="20"/>
                <w:szCs w:val="20"/>
              </w:rPr>
              <w:t>Menge</w:t>
            </w:r>
          </w:p>
        </w:tc>
        <w:tc>
          <w:tcPr>
            <w:tcW w:w="2127" w:type="dxa"/>
            <w:shd w:val="clear" w:color="auto" w:fill="E7E6E6" w:themeFill="background2"/>
          </w:tcPr>
          <w:p w14:paraId="34335649" w14:textId="77777777" w:rsidR="00C85902" w:rsidRPr="005F0A70" w:rsidRDefault="00C85902" w:rsidP="005F0A70">
            <w:pPr>
              <w:spacing w:line="240" w:lineRule="auto"/>
              <w:jc w:val="center"/>
              <w:rPr>
                <w:b/>
                <w:bCs/>
                <w:sz w:val="20"/>
                <w:szCs w:val="20"/>
              </w:rPr>
            </w:pPr>
            <w:r w:rsidRPr="005F0A70">
              <w:rPr>
                <w:b/>
                <w:bCs/>
                <w:sz w:val="20"/>
                <w:szCs w:val="20"/>
              </w:rPr>
              <w:t>Name</w:t>
            </w:r>
          </w:p>
        </w:tc>
        <w:tc>
          <w:tcPr>
            <w:tcW w:w="4240" w:type="dxa"/>
            <w:shd w:val="clear" w:color="auto" w:fill="E7E6E6" w:themeFill="background2"/>
          </w:tcPr>
          <w:p w14:paraId="3081FB3F" w14:textId="77777777" w:rsidR="00C85902" w:rsidRPr="005F0A70" w:rsidRDefault="00C85902" w:rsidP="005F0A70">
            <w:pPr>
              <w:spacing w:line="240" w:lineRule="auto"/>
              <w:jc w:val="center"/>
              <w:rPr>
                <w:b/>
                <w:bCs/>
                <w:sz w:val="20"/>
                <w:szCs w:val="20"/>
              </w:rPr>
            </w:pPr>
            <w:r w:rsidRPr="005F0A70">
              <w:rPr>
                <w:b/>
                <w:bCs/>
                <w:sz w:val="20"/>
                <w:szCs w:val="20"/>
              </w:rPr>
              <w:t>Hersteller</w:t>
            </w:r>
          </w:p>
        </w:tc>
      </w:tr>
      <w:tr w:rsidR="00C85902" w14:paraId="5081858C" w14:textId="77777777" w:rsidTr="00675CB0">
        <w:trPr>
          <w:trHeight w:val="198"/>
        </w:trPr>
        <w:tc>
          <w:tcPr>
            <w:tcW w:w="2127" w:type="dxa"/>
          </w:tcPr>
          <w:p w14:paraId="129AA63F" w14:textId="77777777" w:rsidR="00C85902" w:rsidRPr="005F0A70" w:rsidRDefault="00C85902" w:rsidP="005F0A70">
            <w:pPr>
              <w:spacing w:line="240" w:lineRule="auto"/>
              <w:rPr>
                <w:sz w:val="20"/>
                <w:szCs w:val="20"/>
              </w:rPr>
            </w:pPr>
            <w:r w:rsidRPr="005F0A70">
              <w:rPr>
                <w:sz w:val="20"/>
                <w:szCs w:val="20"/>
              </w:rPr>
              <w:t>1</w:t>
            </w:r>
            <w:r w:rsidRPr="005F0A70">
              <w:rPr>
                <w:w w:val="50"/>
                <w:sz w:val="20"/>
                <w:szCs w:val="20"/>
              </w:rPr>
              <w:t> </w:t>
            </w:r>
            <w:r w:rsidRPr="005F0A70">
              <w:rPr>
                <w:sz w:val="20"/>
                <w:szCs w:val="20"/>
              </w:rPr>
              <w:t>g</w:t>
            </w:r>
          </w:p>
        </w:tc>
        <w:tc>
          <w:tcPr>
            <w:tcW w:w="2127" w:type="dxa"/>
          </w:tcPr>
          <w:p w14:paraId="51E871EA" w14:textId="77777777" w:rsidR="00C85902" w:rsidRPr="005F0A70" w:rsidRDefault="00C85902" w:rsidP="005F0A70">
            <w:pPr>
              <w:spacing w:line="240" w:lineRule="auto"/>
              <w:rPr>
                <w:sz w:val="20"/>
                <w:szCs w:val="20"/>
              </w:rPr>
            </w:pPr>
            <w:r w:rsidRPr="005F0A70">
              <w:rPr>
                <w:sz w:val="20"/>
                <w:szCs w:val="20"/>
              </w:rPr>
              <w:t>Agarosepulver</w:t>
            </w:r>
          </w:p>
        </w:tc>
        <w:tc>
          <w:tcPr>
            <w:tcW w:w="4240" w:type="dxa"/>
          </w:tcPr>
          <w:p w14:paraId="5D66EC3B" w14:textId="77777777" w:rsidR="00C85902" w:rsidRPr="005F0A70" w:rsidRDefault="00C85902" w:rsidP="00994645">
            <w:pPr>
              <w:spacing w:line="240" w:lineRule="auto"/>
              <w:jc w:val="center"/>
              <w:rPr>
                <w:sz w:val="20"/>
                <w:szCs w:val="20"/>
              </w:rPr>
            </w:pPr>
            <w:r w:rsidRPr="005F0A70">
              <w:rPr>
                <w:sz w:val="20"/>
                <w:szCs w:val="20"/>
              </w:rPr>
              <w:t>Sigma-Aldrich REF 9012-36-6</w:t>
            </w:r>
          </w:p>
        </w:tc>
      </w:tr>
      <w:tr w:rsidR="00C85902" w:rsidRPr="00D60324" w14:paraId="3E1D993C" w14:textId="77777777" w:rsidTr="00675CB0">
        <w:trPr>
          <w:trHeight w:val="198"/>
        </w:trPr>
        <w:tc>
          <w:tcPr>
            <w:tcW w:w="2127" w:type="dxa"/>
          </w:tcPr>
          <w:p w14:paraId="13ED3E34" w14:textId="77777777" w:rsidR="00C85902" w:rsidRPr="005F0A70" w:rsidRDefault="00C85902" w:rsidP="005F0A70">
            <w:pPr>
              <w:spacing w:line="240" w:lineRule="auto"/>
              <w:rPr>
                <w:sz w:val="20"/>
                <w:szCs w:val="20"/>
              </w:rPr>
            </w:pPr>
            <w:r w:rsidRPr="005F0A70">
              <w:rPr>
                <w:sz w:val="20"/>
                <w:szCs w:val="20"/>
              </w:rPr>
              <w:t>50</w:t>
            </w:r>
            <w:r w:rsidRPr="005F0A70">
              <w:rPr>
                <w:w w:val="50"/>
                <w:sz w:val="20"/>
                <w:szCs w:val="20"/>
              </w:rPr>
              <w:t> </w:t>
            </w:r>
            <w:r w:rsidRPr="005F0A70">
              <w:rPr>
                <w:sz w:val="20"/>
                <w:szCs w:val="20"/>
              </w:rPr>
              <w:t>ml</w:t>
            </w:r>
          </w:p>
        </w:tc>
        <w:tc>
          <w:tcPr>
            <w:tcW w:w="2127" w:type="dxa"/>
          </w:tcPr>
          <w:p w14:paraId="0F780B6A" w14:textId="77777777" w:rsidR="00C85902" w:rsidRPr="00D60324" w:rsidRDefault="00C85902" w:rsidP="005F0A70">
            <w:pPr>
              <w:spacing w:line="240" w:lineRule="auto"/>
              <w:rPr>
                <w:sz w:val="20"/>
                <w:szCs w:val="20"/>
                <w:lang w:val="en-GB"/>
              </w:rPr>
            </w:pPr>
            <w:r w:rsidRPr="00D60324">
              <w:rPr>
                <w:sz w:val="20"/>
                <w:szCs w:val="20"/>
                <w:lang w:val="en-GB"/>
              </w:rPr>
              <w:t>TBE Puffer:</w:t>
            </w:r>
            <w:r w:rsidRPr="00D60324">
              <w:rPr>
                <w:sz w:val="20"/>
                <w:szCs w:val="20"/>
                <w:lang w:val="en-GB"/>
              </w:rPr>
              <w:br/>
              <w:t>Tris</w:t>
            </w:r>
            <w:r w:rsidRPr="00D60324">
              <w:rPr>
                <w:sz w:val="20"/>
                <w:szCs w:val="20"/>
                <w:lang w:val="en-GB"/>
              </w:rPr>
              <w:br/>
              <w:t>Borsäure</w:t>
            </w:r>
            <w:r w:rsidRPr="00D60324">
              <w:rPr>
                <w:sz w:val="20"/>
                <w:szCs w:val="20"/>
                <w:lang w:val="en-GB"/>
              </w:rPr>
              <w:br/>
              <w:t>ED</w:t>
            </w:r>
            <w:r>
              <w:rPr>
                <w:sz w:val="20"/>
                <w:szCs w:val="20"/>
                <w:lang w:val="en-GB"/>
              </w:rPr>
              <w:t>TA</w:t>
            </w:r>
          </w:p>
        </w:tc>
        <w:tc>
          <w:tcPr>
            <w:tcW w:w="4240" w:type="dxa"/>
          </w:tcPr>
          <w:p w14:paraId="0B5A8FAB" w14:textId="77777777" w:rsidR="00C85902" w:rsidRDefault="00C85902" w:rsidP="00994645">
            <w:pPr>
              <w:spacing w:line="240" w:lineRule="auto"/>
              <w:jc w:val="center"/>
              <w:rPr>
                <w:sz w:val="20"/>
                <w:szCs w:val="20"/>
                <w:lang w:val="en-GB"/>
              </w:rPr>
            </w:pPr>
          </w:p>
          <w:p w14:paraId="2C464267" w14:textId="77777777" w:rsidR="00C85902" w:rsidRDefault="00C85902" w:rsidP="00994645">
            <w:pPr>
              <w:spacing w:line="240" w:lineRule="auto"/>
              <w:jc w:val="center"/>
              <w:rPr>
                <w:sz w:val="20"/>
                <w:szCs w:val="20"/>
                <w:lang w:val="en-GB"/>
              </w:rPr>
            </w:pPr>
            <w:r>
              <w:rPr>
                <w:sz w:val="20"/>
                <w:szCs w:val="20"/>
                <w:lang w:val="en-GB"/>
              </w:rPr>
              <w:t>Sigma</w:t>
            </w:r>
          </w:p>
          <w:p w14:paraId="1E6E3480" w14:textId="77777777" w:rsidR="00C85902" w:rsidRDefault="00C85902" w:rsidP="00994645">
            <w:pPr>
              <w:spacing w:line="240" w:lineRule="auto"/>
              <w:jc w:val="center"/>
              <w:rPr>
                <w:sz w:val="20"/>
                <w:szCs w:val="20"/>
                <w:lang w:val="en-GB"/>
              </w:rPr>
            </w:pPr>
            <w:r>
              <w:rPr>
                <w:sz w:val="20"/>
                <w:szCs w:val="20"/>
                <w:lang w:val="en-GB"/>
              </w:rPr>
              <w:t>Sigma</w:t>
            </w:r>
          </w:p>
          <w:p w14:paraId="04E0C621" w14:textId="77777777" w:rsidR="00C85902" w:rsidRPr="00D60324" w:rsidRDefault="00C85902" w:rsidP="00994645">
            <w:pPr>
              <w:spacing w:line="240" w:lineRule="auto"/>
              <w:jc w:val="center"/>
              <w:rPr>
                <w:sz w:val="20"/>
                <w:szCs w:val="20"/>
                <w:lang w:val="en-GB"/>
              </w:rPr>
            </w:pPr>
            <w:r>
              <w:rPr>
                <w:sz w:val="20"/>
                <w:szCs w:val="20"/>
                <w:lang w:val="en-GB"/>
              </w:rPr>
              <w:t>Sigma</w:t>
            </w:r>
          </w:p>
        </w:tc>
      </w:tr>
      <w:tr w:rsidR="00C85902" w14:paraId="0D8F5B57" w14:textId="77777777" w:rsidTr="00675CB0">
        <w:trPr>
          <w:trHeight w:val="198"/>
        </w:trPr>
        <w:tc>
          <w:tcPr>
            <w:tcW w:w="2127" w:type="dxa"/>
          </w:tcPr>
          <w:p w14:paraId="108C63F3" w14:textId="77777777" w:rsidR="00C85902" w:rsidRPr="005F0A70" w:rsidRDefault="00C85902" w:rsidP="005F0A70">
            <w:pPr>
              <w:spacing w:line="240" w:lineRule="auto"/>
              <w:rPr>
                <w:sz w:val="20"/>
                <w:szCs w:val="20"/>
              </w:rPr>
            </w:pPr>
            <w:r w:rsidRPr="005F0A70">
              <w:rPr>
                <w:sz w:val="20"/>
                <w:szCs w:val="20"/>
              </w:rPr>
              <w:t>5</w:t>
            </w:r>
            <w:r w:rsidRPr="005F0A70">
              <w:rPr>
                <w:w w:val="50"/>
                <w:sz w:val="20"/>
                <w:szCs w:val="20"/>
              </w:rPr>
              <w:t> </w:t>
            </w:r>
            <w:r w:rsidRPr="005F0A70">
              <w:rPr>
                <w:rFonts w:cs="Arial"/>
                <w:sz w:val="20"/>
                <w:szCs w:val="20"/>
              </w:rPr>
              <w:t>µ</w:t>
            </w:r>
          </w:p>
        </w:tc>
        <w:tc>
          <w:tcPr>
            <w:tcW w:w="2127" w:type="dxa"/>
          </w:tcPr>
          <w:p w14:paraId="74E309E3" w14:textId="77777777" w:rsidR="00C85902" w:rsidRPr="005F0A70" w:rsidRDefault="00C85902" w:rsidP="005F0A70">
            <w:pPr>
              <w:spacing w:line="240" w:lineRule="auto"/>
              <w:rPr>
                <w:sz w:val="20"/>
                <w:szCs w:val="20"/>
                <w:lang w:val="en-GB"/>
              </w:rPr>
            </w:pPr>
            <w:r w:rsidRPr="005F0A70">
              <w:rPr>
                <w:sz w:val="20"/>
                <w:szCs w:val="20"/>
                <w:lang w:val="en-GB"/>
              </w:rPr>
              <w:t>Gel Red Acid Gelstain 10000x</w:t>
            </w:r>
          </w:p>
        </w:tc>
        <w:tc>
          <w:tcPr>
            <w:tcW w:w="4240" w:type="dxa"/>
          </w:tcPr>
          <w:p w14:paraId="44FF348A" w14:textId="77777777" w:rsidR="00C85902" w:rsidRPr="005F0A70" w:rsidRDefault="00C85902" w:rsidP="00994645">
            <w:pPr>
              <w:spacing w:line="240" w:lineRule="auto"/>
              <w:jc w:val="center"/>
              <w:rPr>
                <w:sz w:val="20"/>
                <w:szCs w:val="20"/>
              </w:rPr>
            </w:pPr>
            <w:r w:rsidRPr="005F0A70">
              <w:rPr>
                <w:sz w:val="20"/>
                <w:szCs w:val="20"/>
              </w:rPr>
              <w:t>Biotinum REF 41003</w:t>
            </w:r>
          </w:p>
        </w:tc>
      </w:tr>
      <w:tr w:rsidR="00C85902" w14:paraId="7B01E010" w14:textId="77777777" w:rsidTr="00675CB0">
        <w:trPr>
          <w:trHeight w:val="198"/>
        </w:trPr>
        <w:tc>
          <w:tcPr>
            <w:tcW w:w="2127" w:type="dxa"/>
          </w:tcPr>
          <w:p w14:paraId="4FAFDDD7" w14:textId="77777777" w:rsidR="00C85902" w:rsidRPr="005F0A70" w:rsidRDefault="00C85902" w:rsidP="005F0A70">
            <w:pPr>
              <w:spacing w:line="240" w:lineRule="auto"/>
              <w:rPr>
                <w:sz w:val="20"/>
                <w:szCs w:val="20"/>
              </w:rPr>
            </w:pPr>
            <w:r w:rsidRPr="005F0A70">
              <w:rPr>
                <w:sz w:val="20"/>
                <w:szCs w:val="20"/>
              </w:rPr>
              <w:t>10</w:t>
            </w:r>
            <w:r w:rsidRPr="005F0A70">
              <w:rPr>
                <w:w w:val="50"/>
                <w:sz w:val="20"/>
                <w:szCs w:val="20"/>
              </w:rPr>
              <w:t> </w:t>
            </w:r>
            <w:r w:rsidRPr="005F0A70">
              <w:rPr>
                <w:rFonts w:cs="Arial"/>
                <w:sz w:val="20"/>
                <w:szCs w:val="20"/>
              </w:rPr>
              <w:t>µl (pro Gel)</w:t>
            </w:r>
          </w:p>
        </w:tc>
        <w:tc>
          <w:tcPr>
            <w:tcW w:w="2127" w:type="dxa"/>
          </w:tcPr>
          <w:p w14:paraId="28DE54A7" w14:textId="77777777" w:rsidR="00C85902" w:rsidRPr="005F0A70" w:rsidRDefault="00C85902" w:rsidP="005F0A70">
            <w:pPr>
              <w:spacing w:line="240" w:lineRule="auto"/>
              <w:rPr>
                <w:sz w:val="20"/>
                <w:szCs w:val="20"/>
              </w:rPr>
            </w:pPr>
            <w:r w:rsidRPr="005F0A70">
              <w:rPr>
                <w:rFonts w:cs="Arial"/>
                <w:sz w:val="20"/>
                <w:szCs w:val="20"/>
              </w:rPr>
              <w:t>100bp Ladder</w:t>
            </w:r>
          </w:p>
        </w:tc>
        <w:tc>
          <w:tcPr>
            <w:tcW w:w="4240" w:type="dxa"/>
          </w:tcPr>
          <w:p w14:paraId="74625272" w14:textId="77777777" w:rsidR="00C85902" w:rsidRPr="005F0A70" w:rsidRDefault="00C85902" w:rsidP="00994645">
            <w:pPr>
              <w:spacing w:line="240" w:lineRule="auto"/>
              <w:jc w:val="center"/>
              <w:rPr>
                <w:sz w:val="20"/>
                <w:szCs w:val="20"/>
              </w:rPr>
            </w:pPr>
            <w:r w:rsidRPr="005F0A70">
              <w:rPr>
                <w:sz w:val="20"/>
                <w:szCs w:val="20"/>
              </w:rPr>
              <w:t>Invitrogen REF 15628019</w:t>
            </w:r>
          </w:p>
        </w:tc>
      </w:tr>
      <w:tr w:rsidR="00C85902" w14:paraId="79EC36FF" w14:textId="77777777" w:rsidTr="00675CB0">
        <w:trPr>
          <w:trHeight w:val="198"/>
        </w:trPr>
        <w:tc>
          <w:tcPr>
            <w:tcW w:w="2127" w:type="dxa"/>
          </w:tcPr>
          <w:p w14:paraId="11FDC15F" w14:textId="77777777" w:rsidR="00C85902" w:rsidRPr="005F0A70" w:rsidRDefault="00C85902" w:rsidP="005F0A70">
            <w:pPr>
              <w:spacing w:line="240" w:lineRule="auto"/>
              <w:rPr>
                <w:sz w:val="20"/>
                <w:szCs w:val="20"/>
              </w:rPr>
            </w:pPr>
            <w:r w:rsidRPr="005F0A70">
              <w:rPr>
                <w:sz w:val="20"/>
                <w:szCs w:val="20"/>
              </w:rPr>
              <w:t>4</w:t>
            </w:r>
            <w:r w:rsidRPr="005F0A70">
              <w:rPr>
                <w:w w:val="50"/>
                <w:sz w:val="20"/>
                <w:szCs w:val="20"/>
              </w:rPr>
              <w:t> </w:t>
            </w:r>
            <w:r w:rsidRPr="005F0A70">
              <w:rPr>
                <w:rFonts w:cs="Arial"/>
                <w:sz w:val="20"/>
                <w:szCs w:val="20"/>
              </w:rPr>
              <w:t>µl (pro Probe)</w:t>
            </w:r>
          </w:p>
        </w:tc>
        <w:tc>
          <w:tcPr>
            <w:tcW w:w="2127" w:type="dxa"/>
          </w:tcPr>
          <w:p w14:paraId="4EF02138" w14:textId="77777777" w:rsidR="00C85902" w:rsidRPr="005F0A70" w:rsidRDefault="00C85902" w:rsidP="005F0A70">
            <w:pPr>
              <w:spacing w:line="240" w:lineRule="auto"/>
              <w:rPr>
                <w:rFonts w:cs="Arial"/>
                <w:sz w:val="20"/>
                <w:szCs w:val="20"/>
              </w:rPr>
            </w:pPr>
            <w:r w:rsidRPr="005F0A70">
              <w:rPr>
                <w:rFonts w:cs="Arial"/>
                <w:sz w:val="20"/>
                <w:szCs w:val="20"/>
              </w:rPr>
              <w:t>Ladepuffer</w:t>
            </w:r>
          </w:p>
        </w:tc>
        <w:tc>
          <w:tcPr>
            <w:tcW w:w="4240" w:type="dxa"/>
          </w:tcPr>
          <w:p w14:paraId="6D3734A9" w14:textId="77777777" w:rsidR="00C85902" w:rsidRPr="005F0A70" w:rsidRDefault="00C85902" w:rsidP="00994645">
            <w:pPr>
              <w:spacing w:line="240" w:lineRule="auto"/>
              <w:jc w:val="center"/>
              <w:rPr>
                <w:sz w:val="20"/>
                <w:szCs w:val="20"/>
              </w:rPr>
            </w:pPr>
            <w:r w:rsidRPr="005F0A70">
              <w:rPr>
                <w:sz w:val="20"/>
                <w:szCs w:val="20"/>
              </w:rPr>
              <w:t>Invitrogen</w:t>
            </w:r>
          </w:p>
        </w:tc>
      </w:tr>
      <w:tr w:rsidR="00C85902" w14:paraId="163BA1CE" w14:textId="77777777" w:rsidTr="00675CB0">
        <w:trPr>
          <w:trHeight w:val="198"/>
        </w:trPr>
        <w:tc>
          <w:tcPr>
            <w:tcW w:w="2127" w:type="dxa"/>
          </w:tcPr>
          <w:p w14:paraId="7606BB5C" w14:textId="77777777" w:rsidR="00C85902" w:rsidRPr="005F0A70" w:rsidRDefault="00C85902" w:rsidP="005F0A70">
            <w:pPr>
              <w:spacing w:line="240" w:lineRule="auto"/>
              <w:rPr>
                <w:sz w:val="20"/>
                <w:szCs w:val="20"/>
              </w:rPr>
            </w:pPr>
            <w:r w:rsidRPr="005F0A70">
              <w:rPr>
                <w:rFonts w:cs="Arial"/>
                <w:sz w:val="20"/>
                <w:szCs w:val="20"/>
              </w:rPr>
              <w:t>10</w:t>
            </w:r>
            <w:r w:rsidRPr="005F0A70">
              <w:rPr>
                <w:w w:val="50"/>
                <w:sz w:val="20"/>
                <w:szCs w:val="20"/>
              </w:rPr>
              <w:t> </w:t>
            </w:r>
            <w:r w:rsidRPr="005F0A70">
              <w:rPr>
                <w:rFonts w:cs="Arial"/>
                <w:sz w:val="20"/>
                <w:szCs w:val="20"/>
              </w:rPr>
              <w:t>µl</w:t>
            </w:r>
          </w:p>
        </w:tc>
        <w:tc>
          <w:tcPr>
            <w:tcW w:w="6367" w:type="dxa"/>
            <w:gridSpan w:val="2"/>
          </w:tcPr>
          <w:p w14:paraId="7B4EB9D2" w14:textId="77777777" w:rsidR="00C85902" w:rsidRPr="005F0A70" w:rsidRDefault="00C85902" w:rsidP="005F0A70">
            <w:pPr>
              <w:keepNext/>
              <w:spacing w:line="240" w:lineRule="auto"/>
              <w:rPr>
                <w:sz w:val="20"/>
                <w:szCs w:val="20"/>
              </w:rPr>
            </w:pPr>
            <w:r w:rsidRPr="005F0A70">
              <w:rPr>
                <w:rFonts w:cs="Arial"/>
                <w:sz w:val="20"/>
                <w:szCs w:val="20"/>
              </w:rPr>
              <w:t>Probe nach PCR</w:t>
            </w:r>
          </w:p>
        </w:tc>
      </w:tr>
    </w:tbl>
    <w:p w14:paraId="08BB20B3" w14:textId="77777777" w:rsidR="00C85902" w:rsidRDefault="00C85902">
      <w:pPr>
        <w:pStyle w:val="Beschriftung"/>
      </w:pPr>
    </w:p>
    <w:p w14:paraId="0DE223BC" w14:textId="045D3DB3" w:rsidR="00C85902" w:rsidRDefault="00C85902" w:rsidP="00520665">
      <w:pPr>
        <w:rPr>
          <w:rFonts w:cs="Arial"/>
        </w:rPr>
      </w:pPr>
      <w:r>
        <w:rPr>
          <w:rFonts w:cs="Arial"/>
        </w:rPr>
        <w:t xml:space="preserve">In </w:t>
      </w:r>
      <w:r>
        <w:rPr>
          <w:rFonts w:cs="Arial"/>
        </w:rPr>
        <w:fldChar w:fldCharType="begin"/>
      </w:r>
      <w:r>
        <w:rPr>
          <w:rFonts w:cs="Arial"/>
        </w:rPr>
        <w:instrText xml:space="preserve"> REF _Ref120300280 \h </w:instrText>
      </w:r>
      <w:r>
        <w:rPr>
          <w:rFonts w:cs="Arial"/>
        </w:rPr>
      </w:r>
      <w:r>
        <w:rPr>
          <w:rFonts w:cs="Arial"/>
        </w:rPr>
        <w:fldChar w:fldCharType="separate"/>
      </w:r>
      <w:r w:rsidR="00791554">
        <w:t xml:space="preserve">Abbildung </w:t>
      </w:r>
      <w:r w:rsidR="00791554">
        <w:rPr>
          <w:noProof/>
        </w:rPr>
        <w:t>8</w:t>
      </w:r>
      <w:r>
        <w:rPr>
          <w:rFonts w:cs="Arial"/>
        </w:rPr>
        <w:fldChar w:fldCharType="end"/>
      </w:r>
      <w:r>
        <w:rPr>
          <w:rFonts w:cs="Arial"/>
        </w:rPr>
        <w:t xml:space="preserve"> ist das Ergebnis des MycoSPY</w:t>
      </w:r>
      <w:r w:rsidRPr="00774A8A">
        <w:rPr>
          <w:rFonts w:cs="Arial"/>
          <w:vertAlign w:val="superscript"/>
        </w:rPr>
        <w:t>®</w:t>
      </w:r>
      <w:r>
        <w:rPr>
          <w:rFonts w:cs="Arial"/>
        </w:rPr>
        <w:t xml:space="preserve"> zu sehen. Bei allen Proben der Kulturen zeigt sich die interne Kontrolle bei 700</w:t>
      </w:r>
      <w:r w:rsidRPr="008C4356">
        <w:rPr>
          <w:w w:val="50"/>
        </w:rPr>
        <w:t> </w:t>
      </w:r>
      <w:r>
        <w:rPr>
          <w:rFonts w:cs="Arial"/>
        </w:rPr>
        <w:t>bp, welche eine erfolgreiche PCR anzeigt. Bei den mit Mykoplasmen infizierten Zellen zeigt sich zusätzlich eine zweite Bande bei 500</w:t>
      </w:r>
      <w:r w:rsidRPr="008C4356">
        <w:rPr>
          <w:w w:val="50"/>
        </w:rPr>
        <w:t> </w:t>
      </w:r>
      <w:r>
        <w:rPr>
          <w:rFonts w:cs="Arial"/>
        </w:rPr>
        <w:t xml:space="preserve">bp im Gel, welche durch die Mykoplasmen Infektion zustande kommen. </w:t>
      </w:r>
    </w:p>
    <w:p w14:paraId="37819952" w14:textId="77777777" w:rsidR="00C85902" w:rsidRDefault="00C85902" w:rsidP="00520665">
      <w:pPr>
        <w:rPr>
          <w:rFonts w:cs="Arial"/>
        </w:rPr>
      </w:pPr>
      <w:r>
        <w:rPr>
          <w:rFonts w:cs="Arial"/>
        </w:rPr>
        <w:t>Das Ergebnis des MycoSPY</w:t>
      </w:r>
      <w:r w:rsidRPr="00774A8A">
        <w:rPr>
          <w:rFonts w:cs="Arial"/>
          <w:vertAlign w:val="superscript"/>
        </w:rPr>
        <w:t>®</w:t>
      </w:r>
      <w:r>
        <w:rPr>
          <w:rFonts w:cs="Arial"/>
        </w:rPr>
        <w:t xml:space="preserve"> bestätigt die bereits bestehende Infektion von T24 M und Cal29 M und eine erfolgreiche Neuinfektion der Zelllinie HT1197 M sowie der aus OP-Präparaten gewonnen Zellen HL 20/31M sowie HL 20/32 M. Außerdem konnte bei allen Zelllinien und isolierten Zellen auch nachweislich mykoplasmenfreie Kulturen (ohne zweite Bande) identifiziert werden. </w:t>
      </w:r>
    </w:p>
    <w:p w14:paraId="01E3B735" w14:textId="77777777" w:rsidR="00C85902" w:rsidRPr="001E726D" w:rsidRDefault="00C85902" w:rsidP="001E726D">
      <w:pPr>
        <w:rPr>
          <w:rFonts w:cs="Arial"/>
        </w:rPr>
      </w:pPr>
      <w:r>
        <w:rPr>
          <w:rFonts w:cs="Arial"/>
          <w:noProof/>
        </w:rPr>
        <w:drawing>
          <wp:inline distT="0" distB="0" distL="0" distR="0" wp14:anchorId="468CBFA5" wp14:editId="20A0F416">
            <wp:extent cx="5400040" cy="28536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7">
                      <a:extLst>
                        <a:ext uri="{28A0092B-C50C-407E-A947-70E740481C1C}">
                          <a14:useLocalDpi xmlns:a14="http://schemas.microsoft.com/office/drawing/2010/main" val="0"/>
                        </a:ext>
                      </a:extLst>
                    </a:blip>
                    <a:srcRect t="6062"/>
                    <a:stretch/>
                  </pic:blipFill>
                  <pic:spPr bwMode="auto">
                    <a:xfrm>
                      <a:off x="0" y="0"/>
                      <a:ext cx="5400040" cy="2853690"/>
                    </a:xfrm>
                    <a:prstGeom prst="rect">
                      <a:avLst/>
                    </a:prstGeom>
                    <a:ln>
                      <a:noFill/>
                    </a:ln>
                    <a:extLst>
                      <a:ext uri="{53640926-AAD7-44D8-BBD7-CCE9431645EC}">
                        <a14:shadowObscured xmlns:a14="http://schemas.microsoft.com/office/drawing/2010/main"/>
                      </a:ext>
                    </a:extLst>
                  </pic:spPr>
                </pic:pic>
              </a:graphicData>
            </a:graphic>
          </wp:inline>
        </w:drawing>
      </w:r>
    </w:p>
    <w:p w14:paraId="17F82C9F" w14:textId="1EB42EA2" w:rsidR="00C85902" w:rsidRPr="005F0A70" w:rsidRDefault="00C85902" w:rsidP="0098033C">
      <w:pPr>
        <w:pStyle w:val="Beschriftung"/>
        <w:rPr>
          <w:vanish/>
          <w:specVanish/>
        </w:rPr>
      </w:pPr>
      <w:bookmarkStart w:id="137" w:name="_Ref120300280"/>
      <w:bookmarkStart w:id="138" w:name="_Toc120649885"/>
      <w:r>
        <w:t xml:space="preserve">Abbildung </w:t>
      </w:r>
      <w:r>
        <w:fldChar w:fldCharType="begin"/>
      </w:r>
      <w:r>
        <w:instrText xml:space="preserve"> SEQ Abbildung \* ARABIC </w:instrText>
      </w:r>
      <w:r>
        <w:fldChar w:fldCharType="separate"/>
      </w:r>
      <w:r w:rsidR="00791554">
        <w:rPr>
          <w:noProof/>
        </w:rPr>
        <w:t>8</w:t>
      </w:r>
      <w:r>
        <w:rPr>
          <w:noProof/>
        </w:rPr>
        <w:fldChar w:fldCharType="end"/>
      </w:r>
      <w:bookmarkEnd w:id="137"/>
      <w:r>
        <w:t xml:space="preserve"> </w:t>
      </w:r>
      <w:r w:rsidRPr="007F1966">
        <w:t>Ergebnis MycoSP</w:t>
      </w:r>
      <w:r>
        <w:t xml:space="preserve">Y </w:t>
      </w:r>
      <w:r w:rsidRPr="00774A8A">
        <w:rPr>
          <w:vertAlign w:val="superscript"/>
        </w:rPr>
        <w:t>®</w:t>
      </w:r>
      <w:bookmarkEnd w:id="138"/>
      <w:r>
        <w:t xml:space="preserve">  </w:t>
      </w:r>
    </w:p>
    <w:p w14:paraId="26D4845E" w14:textId="77777777" w:rsidR="00C85902" w:rsidRPr="0098033C" w:rsidRDefault="00C85902" w:rsidP="0098033C">
      <w:pPr>
        <w:pStyle w:val="Beschriftung"/>
        <w:rPr>
          <w:rFonts w:cs="Arial"/>
        </w:rPr>
      </w:pPr>
      <w:r>
        <w:t xml:space="preserve"> </w:t>
      </w:r>
      <w:r>
        <w:br/>
        <w:t xml:space="preserve">In dieser Abbildung ist das Ergebnis des MycoSPY ® dargestellt. Die interne Kontrollbande bei 700 zeigt einen erfolgreichen Ablauf der zuvor Durchgeführten PCR an. Eine Bande bei 500-520 Basenpaaren zeigt eine Infektion mit Mykoplasmen an. </w:t>
      </w:r>
    </w:p>
    <w:p w14:paraId="41E6C1E5" w14:textId="77777777" w:rsidR="00C85902" w:rsidRDefault="00C85902" w:rsidP="00F75920">
      <w:pPr>
        <w:pStyle w:val="berschrift1"/>
      </w:pPr>
      <w:bookmarkStart w:id="139" w:name="_Toc121158673"/>
      <w:r w:rsidRPr="00383E33">
        <w:t>Ergebnisse</w:t>
      </w:r>
      <w:bookmarkEnd w:id="139"/>
    </w:p>
    <w:p w14:paraId="4CA94D6D" w14:textId="77777777" w:rsidR="00C85902" w:rsidRDefault="00C85902" w:rsidP="00834B6D">
      <w:pPr>
        <w:pStyle w:val="berschrift2"/>
      </w:pPr>
      <w:bookmarkStart w:id="140" w:name="_Toc121158674"/>
      <w:r>
        <w:t>Duplikationsrate der Zelllinien mit und ohne Mykoplasmen Infektion</w:t>
      </w:r>
      <w:bookmarkEnd w:id="140"/>
    </w:p>
    <w:p w14:paraId="160C2345" w14:textId="77777777" w:rsidR="00C85902" w:rsidRPr="00A95CAE" w:rsidRDefault="00C85902" w:rsidP="0093157B">
      <w:r>
        <w:t xml:space="preserve">Die Duplikationsrate wurde für die infizierten und die nicht-infizierten Zellkulturen jeder Zelllinien mit der nachfolgenden Formel bestimmt.  </w:t>
      </w:r>
    </w:p>
    <w:p w14:paraId="6AB1CB48" w14:textId="77777777" w:rsidR="00C85902" w:rsidRPr="00D60324" w:rsidRDefault="00C85902" w:rsidP="0093157B">
      <w:pPr>
        <w:rPr>
          <w:rFonts w:eastAsiaTheme="minorEastAsia"/>
          <w:sz w:val="20"/>
          <w:szCs w:val="18"/>
        </w:rPr>
      </w:pPr>
      <m:oMathPara>
        <m:oMath>
          <m:r>
            <w:rPr>
              <w:rFonts w:ascii="Cambria Math" w:hAnsi="Cambria Math"/>
              <w:sz w:val="20"/>
              <w:szCs w:val="18"/>
            </w:rPr>
            <m:t>Duplikationsrate=</m:t>
          </m:r>
          <m:f>
            <m:fPr>
              <m:ctrlPr>
                <w:rPr>
                  <w:rFonts w:ascii="Cambria Math" w:hAnsi="Cambria Math"/>
                  <w:i/>
                  <w:sz w:val="20"/>
                  <w:szCs w:val="18"/>
                </w:rPr>
              </m:ctrlPr>
            </m:fPr>
            <m:num>
              <m:d>
                <m:dPr>
                  <m:ctrlPr>
                    <w:rPr>
                      <w:rFonts w:ascii="Cambria Math" w:hAnsi="Cambria Math"/>
                      <w:i/>
                      <w:sz w:val="20"/>
                      <w:szCs w:val="18"/>
                    </w:rPr>
                  </m:ctrlPr>
                </m:dPr>
                <m:e>
                  <m:f>
                    <m:fPr>
                      <m:ctrlPr>
                        <w:rPr>
                          <w:rFonts w:ascii="Cambria Math" w:hAnsi="Cambria Math"/>
                          <w:i/>
                          <w:sz w:val="20"/>
                          <w:szCs w:val="18"/>
                        </w:rPr>
                      </m:ctrlPr>
                    </m:fPr>
                    <m:num>
                      <m:func>
                        <m:funcPr>
                          <m:ctrlPr>
                            <w:rPr>
                              <w:rFonts w:ascii="Cambria Math" w:hAnsi="Cambria Math"/>
                              <w:i/>
                              <w:sz w:val="20"/>
                              <w:szCs w:val="18"/>
                            </w:rPr>
                          </m:ctrlPr>
                        </m:funcPr>
                        <m:fName>
                          <m:sSub>
                            <m:sSubPr>
                              <m:ctrlPr>
                                <w:rPr>
                                  <w:rFonts w:ascii="Cambria Math" w:hAnsi="Cambria Math"/>
                                  <w:i/>
                                  <w:sz w:val="20"/>
                                  <w:szCs w:val="18"/>
                                </w:rPr>
                              </m:ctrlPr>
                            </m:sSubPr>
                            <m:e>
                              <m:r>
                                <m:rPr>
                                  <m:sty m:val="p"/>
                                </m:rPr>
                                <w:rPr>
                                  <w:rFonts w:ascii="Cambria Math" w:hAnsi="Cambria Math"/>
                                  <w:sz w:val="20"/>
                                  <w:szCs w:val="18"/>
                                </w:rPr>
                                <m:t>log</m:t>
                              </m:r>
                            </m:e>
                            <m:sub>
                              <m:r>
                                <w:rPr>
                                  <w:rFonts w:ascii="Cambria Math" w:hAnsi="Cambria Math"/>
                                  <w:sz w:val="20"/>
                                  <w:szCs w:val="18"/>
                                </w:rPr>
                                <m:t>10</m:t>
                              </m:r>
                              <m:ctrlPr>
                                <w:rPr>
                                  <w:rFonts w:ascii="Cambria Math" w:hAnsi="Cambria Math"/>
                                  <w:sz w:val="20"/>
                                  <w:szCs w:val="18"/>
                                </w:rPr>
                              </m:ctrlPr>
                            </m:sub>
                          </m:sSub>
                        </m:fName>
                        <m:e>
                          <m:d>
                            <m:dPr>
                              <m:ctrlPr>
                                <w:rPr>
                                  <w:rFonts w:ascii="Cambria Math" w:hAnsi="Cambria Math"/>
                                  <w:i/>
                                  <w:sz w:val="20"/>
                                  <w:szCs w:val="18"/>
                                </w:rPr>
                              </m:ctrlPr>
                            </m:dPr>
                            <m:e>
                              <m:f>
                                <m:fPr>
                                  <m:ctrlPr>
                                    <w:rPr>
                                      <w:rFonts w:ascii="Cambria Math" w:hAnsi="Cambria Math"/>
                                      <w:i/>
                                      <w:sz w:val="20"/>
                                      <w:szCs w:val="18"/>
                                    </w:rPr>
                                  </m:ctrlPr>
                                </m:fPr>
                                <m:num>
                                  <m:r>
                                    <w:rPr>
                                      <w:rFonts w:ascii="Cambria Math" w:hAnsi="Cambria Math"/>
                                      <w:sz w:val="20"/>
                                      <w:szCs w:val="18"/>
                                    </w:rPr>
                                    <m:t>Zellzahl die ausgesät wurde</m:t>
                                  </m:r>
                                </m:num>
                                <m:den>
                                  <m:r>
                                    <w:rPr>
                                      <w:rFonts w:ascii="Cambria Math" w:hAnsi="Cambria Math"/>
                                      <w:sz w:val="20"/>
                                      <w:szCs w:val="18"/>
                                    </w:rPr>
                                    <m:t>Zellzahl nach der Proliferationszeit</m:t>
                                  </m:r>
                                </m:den>
                              </m:f>
                            </m:e>
                          </m:d>
                        </m:e>
                      </m:func>
                    </m:num>
                    <m:den>
                      <m:func>
                        <m:funcPr>
                          <m:ctrlPr>
                            <w:rPr>
                              <w:rFonts w:ascii="Cambria Math" w:hAnsi="Cambria Math"/>
                              <w:i/>
                              <w:sz w:val="20"/>
                              <w:szCs w:val="18"/>
                            </w:rPr>
                          </m:ctrlPr>
                        </m:funcPr>
                        <m:fName>
                          <m:sSub>
                            <m:sSubPr>
                              <m:ctrlPr>
                                <w:rPr>
                                  <w:rFonts w:ascii="Cambria Math" w:hAnsi="Cambria Math"/>
                                  <w:i/>
                                  <w:sz w:val="20"/>
                                  <w:szCs w:val="18"/>
                                </w:rPr>
                              </m:ctrlPr>
                            </m:sSubPr>
                            <m:e>
                              <m:r>
                                <m:rPr>
                                  <m:sty m:val="p"/>
                                </m:rPr>
                                <w:rPr>
                                  <w:rFonts w:ascii="Cambria Math" w:hAnsi="Cambria Math"/>
                                  <w:sz w:val="20"/>
                                  <w:szCs w:val="18"/>
                                </w:rPr>
                                <m:t>log</m:t>
                              </m:r>
                            </m:e>
                            <m:sub>
                              <m:r>
                                <w:rPr>
                                  <w:rFonts w:ascii="Cambria Math" w:hAnsi="Cambria Math"/>
                                  <w:sz w:val="20"/>
                                  <w:szCs w:val="18"/>
                                </w:rPr>
                                <m:t>10</m:t>
                              </m:r>
                            </m:sub>
                          </m:sSub>
                        </m:fName>
                        <m:e>
                          <m:r>
                            <w:rPr>
                              <w:rFonts w:ascii="Cambria Math" w:hAnsi="Cambria Math"/>
                              <w:sz w:val="20"/>
                              <w:szCs w:val="18"/>
                            </w:rPr>
                            <m:t>(2)</m:t>
                          </m:r>
                        </m:e>
                      </m:func>
                    </m:den>
                  </m:f>
                </m:e>
              </m:d>
            </m:num>
            <m:den>
              <m:r>
                <w:rPr>
                  <w:rFonts w:ascii="Cambria Math" w:hAnsi="Cambria Math"/>
                  <w:sz w:val="20"/>
                  <w:szCs w:val="18"/>
                </w:rPr>
                <m:t>Anzahl der Proliferationstage</m:t>
              </m:r>
            </m:den>
          </m:f>
        </m:oMath>
      </m:oMathPara>
    </w:p>
    <w:p w14:paraId="41D0725B" w14:textId="1051EABD" w:rsidR="00C85902" w:rsidRDefault="00C85902" w:rsidP="00DD1F95">
      <w:r>
        <w:t>Es ist hervorzuheben, dass die Zelllinie HT1197 vierzehn Tage für die Proliferation hatte, während die Zelllinien Cal29 und T24 sieben Tage für die Proliferation hatten. Des Weiteren ist wichtig, dass die mit Mykoplasmen infizierten Cal29 Zellen aufgrund ihrer schnellen Proliferation in einer Konzentration von 1*10</w:t>
      </w:r>
      <w:r>
        <w:rPr>
          <w:vertAlign w:val="superscript"/>
        </w:rPr>
        <w:t>5</w:t>
      </w:r>
      <w:r>
        <w:t xml:space="preserve"> Zellen ausgesät wurden, damit weiterhin die gleiche Anzahl an Proliferationstagen wie bei den nicht-infizierten Cal29 gewährleistet werden konnte. Alle anderen Zellen (auch die der anderen Zelllinien) wurden mit einer Konzentration von 5*10</w:t>
      </w:r>
      <w:r>
        <w:rPr>
          <w:vertAlign w:val="superscript"/>
        </w:rPr>
        <w:t>5</w:t>
      </w:r>
      <w:r>
        <w:t xml:space="preserve"> ausgesät. Die Ergebnisse sind in </w:t>
      </w:r>
      <w:r>
        <w:fldChar w:fldCharType="begin"/>
      </w:r>
      <w:r>
        <w:instrText xml:space="preserve"> REF _Ref120300644 \h </w:instrText>
      </w:r>
      <w:r>
        <w:fldChar w:fldCharType="separate"/>
      </w:r>
      <w:r w:rsidR="00791554">
        <w:t xml:space="preserve">Tabelle </w:t>
      </w:r>
      <w:r w:rsidR="00791554">
        <w:rPr>
          <w:noProof/>
        </w:rPr>
        <w:t>24</w:t>
      </w:r>
      <w:r>
        <w:fldChar w:fldCharType="end"/>
      </w:r>
      <w:r>
        <w:t xml:space="preserve"> zusammengefasst. </w:t>
      </w:r>
    </w:p>
    <w:p w14:paraId="74BFE7CB" w14:textId="315591FC" w:rsidR="00C85902" w:rsidRPr="006A40E8" w:rsidRDefault="00C85902" w:rsidP="00774A8A">
      <w:pPr>
        <w:pStyle w:val="Beschriftung"/>
        <w:keepNext/>
        <w:rPr>
          <w:vanish/>
          <w:specVanish/>
        </w:rPr>
      </w:pPr>
      <w:bookmarkStart w:id="141" w:name="_Ref120300644"/>
      <w:bookmarkStart w:id="142" w:name="_Toc120649866"/>
      <w:r>
        <w:t xml:space="preserve">Tabelle </w:t>
      </w:r>
      <w:r>
        <w:fldChar w:fldCharType="begin"/>
      </w:r>
      <w:r>
        <w:instrText xml:space="preserve"> SEQ Tabelle \* ARABIC </w:instrText>
      </w:r>
      <w:r>
        <w:fldChar w:fldCharType="separate"/>
      </w:r>
      <w:r w:rsidR="00791554">
        <w:rPr>
          <w:noProof/>
        </w:rPr>
        <w:t>24</w:t>
      </w:r>
      <w:r>
        <w:rPr>
          <w:noProof/>
        </w:rPr>
        <w:fldChar w:fldCharType="end"/>
      </w:r>
      <w:bookmarkEnd w:id="141"/>
      <w:r>
        <w:t xml:space="preserve"> </w:t>
      </w:r>
      <w:r w:rsidRPr="00E4778A">
        <w:t>Daten der Duplikationstaten der Zelllinien</w:t>
      </w:r>
      <w:bookmarkEnd w:id="142"/>
      <w:r>
        <w:t xml:space="preserve"> </w:t>
      </w:r>
    </w:p>
    <w:p w14:paraId="012C55AE" w14:textId="77777777" w:rsidR="00C85902" w:rsidRDefault="00C85902" w:rsidP="00774A8A">
      <w:pPr>
        <w:pStyle w:val="Beschriftung"/>
        <w:keepNext/>
      </w:pPr>
      <w:r>
        <w:t xml:space="preserve"> </w:t>
      </w:r>
      <w:r>
        <w:br/>
        <w:t xml:space="preserve">In der Tabelle sind die Duplikationsraten der Zelllinien Cal29, T24 und HT1197 angegeben. </w:t>
      </w:r>
      <w:r>
        <w:br/>
        <w:t xml:space="preserve">OM: Ohne Mykoplasmeninfektion     M: mit Mykoplasmeninfektion     P: Passage </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7"/>
        <w:gridCol w:w="1104"/>
        <w:gridCol w:w="874"/>
        <w:gridCol w:w="874"/>
        <w:gridCol w:w="874"/>
        <w:gridCol w:w="874"/>
        <w:gridCol w:w="874"/>
        <w:gridCol w:w="874"/>
      </w:tblGrid>
      <w:tr w:rsidR="00C85902" w:rsidRPr="0093157B" w14:paraId="625E81E0" w14:textId="77777777" w:rsidTr="00675CB0">
        <w:trPr>
          <w:trHeight w:val="227"/>
        </w:trPr>
        <w:tc>
          <w:tcPr>
            <w:tcW w:w="1837" w:type="dxa"/>
            <w:shd w:val="clear" w:color="auto" w:fill="auto"/>
            <w:noWrap/>
            <w:vAlign w:val="bottom"/>
            <w:hideMark/>
          </w:tcPr>
          <w:p w14:paraId="1CDF9C4D" w14:textId="77777777" w:rsidR="00C85902" w:rsidRPr="0093157B" w:rsidRDefault="00C85902" w:rsidP="00675CB0">
            <w:pPr>
              <w:spacing w:after="0" w:line="240" w:lineRule="auto"/>
              <w:rPr>
                <w:rFonts w:ascii="Times New Roman" w:eastAsia="Times New Roman" w:hAnsi="Times New Roman" w:cs="Times New Roman"/>
                <w:sz w:val="20"/>
                <w:szCs w:val="24"/>
                <w:lang w:eastAsia="de-DE"/>
              </w:rPr>
            </w:pPr>
          </w:p>
        </w:tc>
        <w:tc>
          <w:tcPr>
            <w:tcW w:w="1104" w:type="dxa"/>
            <w:shd w:val="clear" w:color="auto" w:fill="auto"/>
            <w:noWrap/>
            <w:vAlign w:val="bottom"/>
            <w:hideMark/>
          </w:tcPr>
          <w:p w14:paraId="497BF045" w14:textId="77777777" w:rsidR="00C85902" w:rsidRPr="0093157B" w:rsidRDefault="00C85902" w:rsidP="00675CB0">
            <w:pPr>
              <w:spacing w:after="0" w:line="240" w:lineRule="auto"/>
              <w:rPr>
                <w:rFonts w:ascii="Times New Roman" w:eastAsia="Times New Roman" w:hAnsi="Times New Roman" w:cs="Times New Roman"/>
                <w:sz w:val="20"/>
                <w:szCs w:val="20"/>
                <w:lang w:eastAsia="de-DE"/>
              </w:rPr>
            </w:pPr>
          </w:p>
        </w:tc>
        <w:tc>
          <w:tcPr>
            <w:tcW w:w="874" w:type="dxa"/>
            <w:shd w:val="clear" w:color="000000" w:fill="EDEDED"/>
            <w:noWrap/>
            <w:vAlign w:val="bottom"/>
            <w:hideMark/>
          </w:tcPr>
          <w:p w14:paraId="32BD522F"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Cal29 OM</w:t>
            </w:r>
          </w:p>
        </w:tc>
        <w:tc>
          <w:tcPr>
            <w:tcW w:w="874" w:type="dxa"/>
            <w:shd w:val="clear" w:color="000000" w:fill="EDEDED"/>
            <w:noWrap/>
            <w:vAlign w:val="bottom"/>
            <w:hideMark/>
          </w:tcPr>
          <w:p w14:paraId="24069F68"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Cal29 M</w:t>
            </w:r>
          </w:p>
        </w:tc>
        <w:tc>
          <w:tcPr>
            <w:tcW w:w="874" w:type="dxa"/>
            <w:shd w:val="clear" w:color="000000" w:fill="EDEDED"/>
            <w:noWrap/>
            <w:vAlign w:val="bottom"/>
            <w:hideMark/>
          </w:tcPr>
          <w:p w14:paraId="2D1E1374"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T24 OM</w:t>
            </w:r>
          </w:p>
        </w:tc>
        <w:tc>
          <w:tcPr>
            <w:tcW w:w="874" w:type="dxa"/>
            <w:shd w:val="clear" w:color="000000" w:fill="EDEDED"/>
            <w:noWrap/>
            <w:vAlign w:val="bottom"/>
            <w:hideMark/>
          </w:tcPr>
          <w:p w14:paraId="75DD053B"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T24 M</w:t>
            </w:r>
          </w:p>
        </w:tc>
        <w:tc>
          <w:tcPr>
            <w:tcW w:w="874" w:type="dxa"/>
            <w:shd w:val="clear" w:color="000000" w:fill="EDEDED"/>
            <w:noWrap/>
            <w:vAlign w:val="bottom"/>
            <w:hideMark/>
          </w:tcPr>
          <w:p w14:paraId="3B1E9C33"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HT1197 OM</w:t>
            </w:r>
          </w:p>
        </w:tc>
        <w:tc>
          <w:tcPr>
            <w:tcW w:w="874" w:type="dxa"/>
            <w:shd w:val="clear" w:color="000000" w:fill="EDEDED"/>
            <w:noWrap/>
            <w:vAlign w:val="bottom"/>
            <w:hideMark/>
          </w:tcPr>
          <w:p w14:paraId="205B1C6F"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HT1197 M</w:t>
            </w:r>
          </w:p>
        </w:tc>
      </w:tr>
      <w:tr w:rsidR="00C85902" w:rsidRPr="0093157B" w14:paraId="09C03A41" w14:textId="77777777" w:rsidTr="00675CB0">
        <w:trPr>
          <w:trHeight w:val="227"/>
        </w:trPr>
        <w:tc>
          <w:tcPr>
            <w:tcW w:w="1837" w:type="dxa"/>
            <w:shd w:val="clear" w:color="auto" w:fill="auto"/>
            <w:noWrap/>
            <w:vAlign w:val="bottom"/>
            <w:hideMark/>
          </w:tcPr>
          <w:p w14:paraId="5EA94703" w14:textId="77777777" w:rsidR="00C85902" w:rsidRPr="0093157B" w:rsidRDefault="00C85902" w:rsidP="00675CB0">
            <w:pPr>
              <w:spacing w:after="0" w:line="240" w:lineRule="auto"/>
              <w:rPr>
                <w:rFonts w:ascii="Calibri" w:eastAsia="Times New Roman" w:hAnsi="Calibri" w:cs="Calibri"/>
                <w:color w:val="000000"/>
                <w:lang w:eastAsia="de-DE"/>
              </w:rPr>
            </w:pPr>
            <w:r>
              <w:rPr>
                <w:rFonts w:ascii="Calibri" w:eastAsia="Times New Roman" w:hAnsi="Calibri" w:cs="Calibri"/>
                <w:color w:val="000000"/>
                <w:sz w:val="22"/>
                <w:lang w:eastAsia="de-DE"/>
              </w:rPr>
              <w:t>Duplik</w:t>
            </w:r>
            <w:r w:rsidRPr="0093157B">
              <w:rPr>
                <w:rFonts w:ascii="Calibri" w:eastAsia="Times New Roman" w:hAnsi="Calibri" w:cs="Calibri"/>
                <w:color w:val="000000"/>
                <w:sz w:val="22"/>
                <w:lang w:eastAsia="de-DE"/>
              </w:rPr>
              <w:t>ationsrate</w:t>
            </w:r>
          </w:p>
        </w:tc>
        <w:tc>
          <w:tcPr>
            <w:tcW w:w="1104" w:type="dxa"/>
            <w:shd w:val="clear" w:color="000000" w:fill="EDEDED"/>
            <w:noWrap/>
            <w:vAlign w:val="bottom"/>
            <w:hideMark/>
          </w:tcPr>
          <w:p w14:paraId="1F1639B9"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P1</w:t>
            </w:r>
          </w:p>
        </w:tc>
        <w:tc>
          <w:tcPr>
            <w:tcW w:w="874" w:type="dxa"/>
            <w:shd w:val="clear" w:color="auto" w:fill="auto"/>
            <w:noWrap/>
            <w:vAlign w:val="bottom"/>
            <w:hideMark/>
          </w:tcPr>
          <w:p w14:paraId="32B13CCF"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0,722</w:t>
            </w:r>
          </w:p>
        </w:tc>
        <w:tc>
          <w:tcPr>
            <w:tcW w:w="874" w:type="dxa"/>
            <w:shd w:val="clear" w:color="auto" w:fill="auto"/>
            <w:noWrap/>
            <w:vAlign w:val="bottom"/>
            <w:hideMark/>
          </w:tcPr>
          <w:p w14:paraId="5476996E"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1</w:t>
            </w:r>
          </w:p>
        </w:tc>
        <w:tc>
          <w:tcPr>
            <w:tcW w:w="874" w:type="dxa"/>
            <w:shd w:val="clear" w:color="auto" w:fill="auto"/>
            <w:noWrap/>
            <w:vAlign w:val="bottom"/>
            <w:hideMark/>
          </w:tcPr>
          <w:p w14:paraId="64E8EEB2"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0,617</w:t>
            </w:r>
          </w:p>
        </w:tc>
        <w:tc>
          <w:tcPr>
            <w:tcW w:w="874" w:type="dxa"/>
            <w:shd w:val="clear" w:color="auto" w:fill="auto"/>
            <w:noWrap/>
            <w:vAlign w:val="bottom"/>
            <w:hideMark/>
          </w:tcPr>
          <w:p w14:paraId="571A056B"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0,713</w:t>
            </w:r>
          </w:p>
        </w:tc>
        <w:tc>
          <w:tcPr>
            <w:tcW w:w="874" w:type="dxa"/>
            <w:shd w:val="clear" w:color="auto" w:fill="auto"/>
            <w:noWrap/>
            <w:vAlign w:val="bottom"/>
            <w:hideMark/>
          </w:tcPr>
          <w:p w14:paraId="1C4EC326"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0,248</w:t>
            </w:r>
          </w:p>
        </w:tc>
        <w:tc>
          <w:tcPr>
            <w:tcW w:w="874" w:type="dxa"/>
            <w:shd w:val="clear" w:color="auto" w:fill="auto"/>
            <w:noWrap/>
            <w:vAlign w:val="bottom"/>
            <w:hideMark/>
          </w:tcPr>
          <w:p w14:paraId="14A14427"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0,205</w:t>
            </w:r>
          </w:p>
        </w:tc>
      </w:tr>
      <w:tr w:rsidR="00C85902" w:rsidRPr="0093157B" w14:paraId="3C6DB562" w14:textId="77777777" w:rsidTr="00675CB0">
        <w:trPr>
          <w:trHeight w:val="227"/>
        </w:trPr>
        <w:tc>
          <w:tcPr>
            <w:tcW w:w="1837" w:type="dxa"/>
            <w:shd w:val="clear" w:color="auto" w:fill="auto"/>
            <w:noWrap/>
            <w:vAlign w:val="bottom"/>
            <w:hideMark/>
          </w:tcPr>
          <w:p w14:paraId="2E8777ED" w14:textId="77777777" w:rsidR="00C85902" w:rsidRPr="0093157B" w:rsidRDefault="00C85902" w:rsidP="00675CB0">
            <w:pPr>
              <w:spacing w:after="0" w:line="240" w:lineRule="auto"/>
              <w:rPr>
                <w:rFonts w:ascii="Calibri" w:eastAsia="Times New Roman" w:hAnsi="Calibri" w:cs="Calibri"/>
                <w:color w:val="000000"/>
                <w:lang w:eastAsia="de-DE"/>
              </w:rPr>
            </w:pPr>
            <w:r>
              <w:rPr>
                <w:rFonts w:ascii="Calibri" w:eastAsia="Times New Roman" w:hAnsi="Calibri" w:cs="Calibri"/>
                <w:color w:val="000000"/>
                <w:sz w:val="22"/>
                <w:lang w:eastAsia="de-DE"/>
              </w:rPr>
              <w:t>Duplik</w:t>
            </w:r>
            <w:r w:rsidRPr="0093157B">
              <w:rPr>
                <w:rFonts w:ascii="Calibri" w:eastAsia="Times New Roman" w:hAnsi="Calibri" w:cs="Calibri"/>
                <w:color w:val="000000"/>
                <w:sz w:val="22"/>
                <w:lang w:eastAsia="de-DE"/>
              </w:rPr>
              <w:t>ationsrate</w:t>
            </w:r>
          </w:p>
        </w:tc>
        <w:tc>
          <w:tcPr>
            <w:tcW w:w="1104" w:type="dxa"/>
            <w:shd w:val="clear" w:color="000000" w:fill="EDEDED"/>
            <w:noWrap/>
            <w:vAlign w:val="bottom"/>
            <w:hideMark/>
          </w:tcPr>
          <w:p w14:paraId="1E108E4D"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P2</w:t>
            </w:r>
          </w:p>
        </w:tc>
        <w:tc>
          <w:tcPr>
            <w:tcW w:w="874" w:type="dxa"/>
            <w:shd w:val="clear" w:color="auto" w:fill="auto"/>
            <w:noWrap/>
            <w:vAlign w:val="bottom"/>
            <w:hideMark/>
          </w:tcPr>
          <w:p w14:paraId="7C2FD338"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0,782</w:t>
            </w:r>
          </w:p>
        </w:tc>
        <w:tc>
          <w:tcPr>
            <w:tcW w:w="874" w:type="dxa"/>
            <w:shd w:val="clear" w:color="auto" w:fill="auto"/>
            <w:noWrap/>
            <w:vAlign w:val="bottom"/>
            <w:hideMark/>
          </w:tcPr>
          <w:p w14:paraId="51C714D6"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0,983</w:t>
            </w:r>
          </w:p>
        </w:tc>
        <w:tc>
          <w:tcPr>
            <w:tcW w:w="874" w:type="dxa"/>
            <w:shd w:val="clear" w:color="auto" w:fill="auto"/>
            <w:noWrap/>
            <w:vAlign w:val="bottom"/>
            <w:hideMark/>
          </w:tcPr>
          <w:p w14:paraId="5D773B91"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0,667</w:t>
            </w:r>
          </w:p>
        </w:tc>
        <w:tc>
          <w:tcPr>
            <w:tcW w:w="874" w:type="dxa"/>
            <w:shd w:val="clear" w:color="auto" w:fill="auto"/>
            <w:noWrap/>
            <w:vAlign w:val="bottom"/>
            <w:hideMark/>
          </w:tcPr>
          <w:p w14:paraId="4235241C"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0,738</w:t>
            </w:r>
          </w:p>
        </w:tc>
        <w:tc>
          <w:tcPr>
            <w:tcW w:w="874" w:type="dxa"/>
            <w:shd w:val="clear" w:color="auto" w:fill="auto"/>
            <w:noWrap/>
            <w:vAlign w:val="bottom"/>
            <w:hideMark/>
          </w:tcPr>
          <w:p w14:paraId="0BB7185F"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0,249</w:t>
            </w:r>
          </w:p>
        </w:tc>
        <w:tc>
          <w:tcPr>
            <w:tcW w:w="874" w:type="dxa"/>
            <w:shd w:val="clear" w:color="auto" w:fill="auto"/>
            <w:noWrap/>
            <w:vAlign w:val="bottom"/>
            <w:hideMark/>
          </w:tcPr>
          <w:p w14:paraId="0A2EB1F5"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0,196</w:t>
            </w:r>
          </w:p>
        </w:tc>
      </w:tr>
      <w:tr w:rsidR="00C85902" w:rsidRPr="0093157B" w14:paraId="4A20966C" w14:textId="77777777" w:rsidTr="00675CB0">
        <w:trPr>
          <w:trHeight w:val="227"/>
        </w:trPr>
        <w:tc>
          <w:tcPr>
            <w:tcW w:w="1837" w:type="dxa"/>
            <w:shd w:val="clear" w:color="auto" w:fill="auto"/>
            <w:noWrap/>
            <w:vAlign w:val="bottom"/>
            <w:hideMark/>
          </w:tcPr>
          <w:p w14:paraId="57D43EFA" w14:textId="77777777" w:rsidR="00C85902" w:rsidRPr="0093157B" w:rsidRDefault="00C85902" w:rsidP="00675CB0">
            <w:pPr>
              <w:spacing w:after="0" w:line="240" w:lineRule="auto"/>
              <w:rPr>
                <w:rFonts w:ascii="Calibri" w:eastAsia="Times New Roman" w:hAnsi="Calibri" w:cs="Calibri"/>
                <w:color w:val="000000"/>
                <w:lang w:eastAsia="de-DE"/>
              </w:rPr>
            </w:pPr>
            <w:r>
              <w:rPr>
                <w:rFonts w:ascii="Calibri" w:eastAsia="Times New Roman" w:hAnsi="Calibri" w:cs="Calibri"/>
                <w:color w:val="000000"/>
                <w:sz w:val="22"/>
                <w:lang w:eastAsia="de-DE"/>
              </w:rPr>
              <w:t>Duplik</w:t>
            </w:r>
            <w:r w:rsidRPr="0093157B">
              <w:rPr>
                <w:rFonts w:ascii="Calibri" w:eastAsia="Times New Roman" w:hAnsi="Calibri" w:cs="Calibri"/>
                <w:color w:val="000000"/>
                <w:sz w:val="22"/>
                <w:lang w:eastAsia="de-DE"/>
              </w:rPr>
              <w:t>ationsrate</w:t>
            </w:r>
          </w:p>
        </w:tc>
        <w:tc>
          <w:tcPr>
            <w:tcW w:w="1104" w:type="dxa"/>
            <w:shd w:val="clear" w:color="000000" w:fill="EDEDED"/>
            <w:noWrap/>
            <w:vAlign w:val="bottom"/>
            <w:hideMark/>
          </w:tcPr>
          <w:p w14:paraId="0480D683"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P3</w:t>
            </w:r>
          </w:p>
        </w:tc>
        <w:tc>
          <w:tcPr>
            <w:tcW w:w="874" w:type="dxa"/>
            <w:shd w:val="clear" w:color="auto" w:fill="auto"/>
            <w:noWrap/>
            <w:vAlign w:val="bottom"/>
            <w:hideMark/>
          </w:tcPr>
          <w:p w14:paraId="5DB22353"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0,717</w:t>
            </w:r>
          </w:p>
        </w:tc>
        <w:tc>
          <w:tcPr>
            <w:tcW w:w="874" w:type="dxa"/>
            <w:shd w:val="clear" w:color="auto" w:fill="auto"/>
            <w:noWrap/>
            <w:vAlign w:val="bottom"/>
            <w:hideMark/>
          </w:tcPr>
          <w:p w14:paraId="160208C9"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0,957</w:t>
            </w:r>
          </w:p>
        </w:tc>
        <w:tc>
          <w:tcPr>
            <w:tcW w:w="874" w:type="dxa"/>
            <w:shd w:val="clear" w:color="auto" w:fill="auto"/>
            <w:noWrap/>
            <w:vAlign w:val="bottom"/>
            <w:hideMark/>
          </w:tcPr>
          <w:p w14:paraId="6717D47E"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0,615</w:t>
            </w:r>
          </w:p>
        </w:tc>
        <w:tc>
          <w:tcPr>
            <w:tcW w:w="874" w:type="dxa"/>
            <w:shd w:val="clear" w:color="auto" w:fill="auto"/>
            <w:noWrap/>
            <w:vAlign w:val="bottom"/>
            <w:hideMark/>
          </w:tcPr>
          <w:p w14:paraId="183FDEEF"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0,785</w:t>
            </w:r>
          </w:p>
        </w:tc>
        <w:tc>
          <w:tcPr>
            <w:tcW w:w="874" w:type="dxa"/>
            <w:shd w:val="clear" w:color="auto" w:fill="auto"/>
            <w:noWrap/>
            <w:vAlign w:val="bottom"/>
            <w:hideMark/>
          </w:tcPr>
          <w:p w14:paraId="655845A6"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0,223</w:t>
            </w:r>
          </w:p>
        </w:tc>
        <w:tc>
          <w:tcPr>
            <w:tcW w:w="874" w:type="dxa"/>
            <w:shd w:val="clear" w:color="auto" w:fill="auto"/>
            <w:noWrap/>
            <w:vAlign w:val="bottom"/>
            <w:hideMark/>
          </w:tcPr>
          <w:p w14:paraId="0674CE72"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0,243</w:t>
            </w:r>
          </w:p>
        </w:tc>
      </w:tr>
      <w:tr w:rsidR="00C85902" w:rsidRPr="0093157B" w14:paraId="7C31228E" w14:textId="77777777" w:rsidTr="00675CB0">
        <w:trPr>
          <w:trHeight w:val="227"/>
        </w:trPr>
        <w:tc>
          <w:tcPr>
            <w:tcW w:w="1837" w:type="dxa"/>
            <w:shd w:val="clear" w:color="auto" w:fill="auto"/>
            <w:noWrap/>
            <w:vAlign w:val="bottom"/>
            <w:hideMark/>
          </w:tcPr>
          <w:p w14:paraId="5F37911D" w14:textId="77777777" w:rsidR="00C85902" w:rsidRPr="0093157B" w:rsidRDefault="00C85902" w:rsidP="00675CB0">
            <w:pPr>
              <w:spacing w:after="0" w:line="240" w:lineRule="auto"/>
              <w:rPr>
                <w:rFonts w:ascii="Calibri" w:eastAsia="Times New Roman" w:hAnsi="Calibri" w:cs="Calibri"/>
                <w:color w:val="000000"/>
                <w:lang w:eastAsia="de-DE"/>
              </w:rPr>
            </w:pPr>
            <w:r>
              <w:rPr>
                <w:rFonts w:ascii="Calibri" w:eastAsia="Times New Roman" w:hAnsi="Calibri" w:cs="Calibri"/>
                <w:color w:val="000000"/>
                <w:sz w:val="22"/>
                <w:lang w:eastAsia="de-DE"/>
              </w:rPr>
              <w:t>Duplik</w:t>
            </w:r>
            <w:r w:rsidRPr="0093157B">
              <w:rPr>
                <w:rFonts w:ascii="Calibri" w:eastAsia="Times New Roman" w:hAnsi="Calibri" w:cs="Calibri"/>
                <w:color w:val="000000"/>
                <w:sz w:val="22"/>
                <w:lang w:eastAsia="de-DE"/>
              </w:rPr>
              <w:t>ationsrate</w:t>
            </w:r>
          </w:p>
        </w:tc>
        <w:tc>
          <w:tcPr>
            <w:tcW w:w="1104" w:type="dxa"/>
            <w:shd w:val="clear" w:color="000000" w:fill="EDEDED"/>
            <w:noWrap/>
            <w:vAlign w:val="bottom"/>
            <w:hideMark/>
          </w:tcPr>
          <w:p w14:paraId="71C6E43E"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P4</w:t>
            </w:r>
          </w:p>
        </w:tc>
        <w:tc>
          <w:tcPr>
            <w:tcW w:w="874" w:type="dxa"/>
            <w:shd w:val="clear" w:color="auto" w:fill="auto"/>
            <w:noWrap/>
            <w:vAlign w:val="bottom"/>
            <w:hideMark/>
          </w:tcPr>
          <w:p w14:paraId="762F0F23"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0,738</w:t>
            </w:r>
          </w:p>
        </w:tc>
        <w:tc>
          <w:tcPr>
            <w:tcW w:w="874" w:type="dxa"/>
            <w:shd w:val="clear" w:color="auto" w:fill="auto"/>
            <w:noWrap/>
            <w:vAlign w:val="bottom"/>
            <w:hideMark/>
          </w:tcPr>
          <w:p w14:paraId="0664B239"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0,972</w:t>
            </w:r>
          </w:p>
        </w:tc>
        <w:tc>
          <w:tcPr>
            <w:tcW w:w="874" w:type="dxa"/>
            <w:shd w:val="clear" w:color="auto" w:fill="auto"/>
            <w:noWrap/>
            <w:vAlign w:val="bottom"/>
            <w:hideMark/>
          </w:tcPr>
          <w:p w14:paraId="6015D599"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0,621</w:t>
            </w:r>
          </w:p>
        </w:tc>
        <w:tc>
          <w:tcPr>
            <w:tcW w:w="874" w:type="dxa"/>
            <w:shd w:val="clear" w:color="auto" w:fill="auto"/>
            <w:noWrap/>
            <w:vAlign w:val="bottom"/>
            <w:hideMark/>
          </w:tcPr>
          <w:p w14:paraId="40B044D2"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0,676</w:t>
            </w:r>
          </w:p>
        </w:tc>
        <w:tc>
          <w:tcPr>
            <w:tcW w:w="874" w:type="dxa"/>
            <w:shd w:val="clear" w:color="auto" w:fill="auto"/>
            <w:noWrap/>
            <w:vAlign w:val="bottom"/>
            <w:hideMark/>
          </w:tcPr>
          <w:p w14:paraId="454CF7E4"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0,253</w:t>
            </w:r>
          </w:p>
        </w:tc>
        <w:tc>
          <w:tcPr>
            <w:tcW w:w="874" w:type="dxa"/>
            <w:shd w:val="clear" w:color="auto" w:fill="auto"/>
            <w:noWrap/>
            <w:vAlign w:val="bottom"/>
            <w:hideMark/>
          </w:tcPr>
          <w:p w14:paraId="34CECA3C"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0,258</w:t>
            </w:r>
          </w:p>
        </w:tc>
      </w:tr>
      <w:tr w:rsidR="00C85902" w:rsidRPr="0093157B" w14:paraId="6B950293" w14:textId="77777777" w:rsidTr="00675CB0">
        <w:trPr>
          <w:trHeight w:val="227"/>
        </w:trPr>
        <w:tc>
          <w:tcPr>
            <w:tcW w:w="1837" w:type="dxa"/>
            <w:shd w:val="clear" w:color="auto" w:fill="auto"/>
            <w:noWrap/>
            <w:vAlign w:val="bottom"/>
            <w:hideMark/>
          </w:tcPr>
          <w:p w14:paraId="04079BB9" w14:textId="77777777" w:rsidR="00C85902" w:rsidRPr="0093157B" w:rsidRDefault="00C85902" w:rsidP="00675CB0">
            <w:pPr>
              <w:spacing w:after="0" w:line="240" w:lineRule="auto"/>
              <w:rPr>
                <w:rFonts w:ascii="Calibri" w:eastAsia="Times New Roman" w:hAnsi="Calibri" w:cs="Calibri"/>
                <w:color w:val="000000"/>
                <w:lang w:eastAsia="de-DE"/>
              </w:rPr>
            </w:pPr>
            <w:r>
              <w:rPr>
                <w:rFonts w:ascii="Calibri" w:eastAsia="Times New Roman" w:hAnsi="Calibri" w:cs="Calibri"/>
                <w:color w:val="000000"/>
                <w:sz w:val="22"/>
                <w:lang w:eastAsia="de-DE"/>
              </w:rPr>
              <w:t>Duplik</w:t>
            </w:r>
            <w:r w:rsidRPr="0093157B">
              <w:rPr>
                <w:rFonts w:ascii="Calibri" w:eastAsia="Times New Roman" w:hAnsi="Calibri" w:cs="Calibri"/>
                <w:color w:val="000000"/>
                <w:sz w:val="22"/>
                <w:lang w:eastAsia="de-DE"/>
              </w:rPr>
              <w:t>ationsrate</w:t>
            </w:r>
          </w:p>
        </w:tc>
        <w:tc>
          <w:tcPr>
            <w:tcW w:w="1104" w:type="dxa"/>
            <w:shd w:val="clear" w:color="000000" w:fill="EDEDED"/>
            <w:noWrap/>
            <w:vAlign w:val="bottom"/>
            <w:hideMark/>
          </w:tcPr>
          <w:p w14:paraId="32EDBEAE"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P5</w:t>
            </w:r>
          </w:p>
        </w:tc>
        <w:tc>
          <w:tcPr>
            <w:tcW w:w="874" w:type="dxa"/>
            <w:shd w:val="clear" w:color="auto" w:fill="auto"/>
            <w:noWrap/>
            <w:vAlign w:val="bottom"/>
            <w:hideMark/>
          </w:tcPr>
          <w:p w14:paraId="65B8F512"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0,739</w:t>
            </w:r>
          </w:p>
        </w:tc>
        <w:tc>
          <w:tcPr>
            <w:tcW w:w="874" w:type="dxa"/>
            <w:shd w:val="clear" w:color="auto" w:fill="auto"/>
            <w:noWrap/>
            <w:vAlign w:val="bottom"/>
            <w:hideMark/>
          </w:tcPr>
          <w:p w14:paraId="039EA7E8"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0,974</w:t>
            </w:r>
          </w:p>
        </w:tc>
        <w:tc>
          <w:tcPr>
            <w:tcW w:w="874" w:type="dxa"/>
            <w:shd w:val="clear" w:color="auto" w:fill="auto"/>
            <w:noWrap/>
            <w:vAlign w:val="bottom"/>
            <w:hideMark/>
          </w:tcPr>
          <w:p w14:paraId="789C2620"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0,407</w:t>
            </w:r>
          </w:p>
        </w:tc>
        <w:tc>
          <w:tcPr>
            <w:tcW w:w="874" w:type="dxa"/>
            <w:shd w:val="clear" w:color="auto" w:fill="auto"/>
            <w:noWrap/>
            <w:vAlign w:val="bottom"/>
            <w:hideMark/>
          </w:tcPr>
          <w:p w14:paraId="196F9855"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0,609</w:t>
            </w:r>
          </w:p>
        </w:tc>
        <w:tc>
          <w:tcPr>
            <w:tcW w:w="874" w:type="dxa"/>
            <w:shd w:val="clear" w:color="auto" w:fill="auto"/>
            <w:noWrap/>
            <w:vAlign w:val="bottom"/>
            <w:hideMark/>
          </w:tcPr>
          <w:p w14:paraId="6933AE59"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0,223</w:t>
            </w:r>
          </w:p>
        </w:tc>
        <w:tc>
          <w:tcPr>
            <w:tcW w:w="874" w:type="dxa"/>
            <w:shd w:val="clear" w:color="auto" w:fill="auto"/>
            <w:noWrap/>
            <w:vAlign w:val="bottom"/>
            <w:hideMark/>
          </w:tcPr>
          <w:p w14:paraId="7EB47262"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0,246</w:t>
            </w:r>
          </w:p>
        </w:tc>
      </w:tr>
      <w:tr w:rsidR="00C85902" w:rsidRPr="0093157B" w14:paraId="08DB35AF" w14:textId="77777777" w:rsidTr="00675CB0">
        <w:trPr>
          <w:trHeight w:val="227"/>
        </w:trPr>
        <w:tc>
          <w:tcPr>
            <w:tcW w:w="1837" w:type="dxa"/>
            <w:shd w:val="clear" w:color="auto" w:fill="auto"/>
            <w:noWrap/>
            <w:vAlign w:val="bottom"/>
            <w:hideMark/>
          </w:tcPr>
          <w:p w14:paraId="4E90ADAC" w14:textId="77777777" w:rsidR="00C85902" w:rsidRPr="0093157B" w:rsidRDefault="00C85902" w:rsidP="00675CB0">
            <w:pPr>
              <w:spacing w:after="0" w:line="240" w:lineRule="auto"/>
              <w:jc w:val="right"/>
              <w:rPr>
                <w:rFonts w:ascii="Calibri" w:eastAsia="Times New Roman" w:hAnsi="Calibri" w:cs="Calibri"/>
                <w:color w:val="000000"/>
                <w:lang w:eastAsia="de-DE"/>
              </w:rPr>
            </w:pPr>
          </w:p>
        </w:tc>
        <w:tc>
          <w:tcPr>
            <w:tcW w:w="1104" w:type="dxa"/>
            <w:shd w:val="clear" w:color="000000" w:fill="EDEDED"/>
            <w:noWrap/>
            <w:vAlign w:val="bottom"/>
            <w:hideMark/>
          </w:tcPr>
          <w:p w14:paraId="1F638B75" w14:textId="77777777" w:rsidR="00C85902" w:rsidRPr="0093157B" w:rsidRDefault="00C85902" w:rsidP="00675CB0">
            <w:pPr>
              <w:spacing w:after="0" w:line="240" w:lineRule="auto"/>
              <w:rPr>
                <w:rFonts w:ascii="Calibri" w:eastAsia="Times New Roman" w:hAnsi="Calibri" w:cs="Calibri"/>
                <w:color w:val="000000"/>
                <w:lang w:eastAsia="de-DE"/>
              </w:rPr>
            </w:pPr>
            <w:r w:rsidRPr="0093157B">
              <w:rPr>
                <w:rFonts w:ascii="Calibri" w:eastAsia="Times New Roman" w:hAnsi="Calibri" w:cs="Calibri"/>
                <w:color w:val="000000"/>
                <w:sz w:val="22"/>
                <w:lang w:eastAsia="de-DE"/>
              </w:rPr>
              <w:t xml:space="preserve">Mittelwert </w:t>
            </w:r>
          </w:p>
        </w:tc>
        <w:tc>
          <w:tcPr>
            <w:tcW w:w="874" w:type="dxa"/>
            <w:shd w:val="clear" w:color="auto" w:fill="auto"/>
            <w:noWrap/>
            <w:vAlign w:val="bottom"/>
            <w:hideMark/>
          </w:tcPr>
          <w:p w14:paraId="48E9D787"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0,7396</w:t>
            </w:r>
          </w:p>
        </w:tc>
        <w:tc>
          <w:tcPr>
            <w:tcW w:w="874" w:type="dxa"/>
            <w:shd w:val="clear" w:color="auto" w:fill="auto"/>
            <w:noWrap/>
            <w:vAlign w:val="bottom"/>
            <w:hideMark/>
          </w:tcPr>
          <w:p w14:paraId="4DFE2F95"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0,9772</w:t>
            </w:r>
          </w:p>
        </w:tc>
        <w:tc>
          <w:tcPr>
            <w:tcW w:w="874" w:type="dxa"/>
            <w:shd w:val="clear" w:color="auto" w:fill="auto"/>
            <w:noWrap/>
            <w:vAlign w:val="bottom"/>
            <w:hideMark/>
          </w:tcPr>
          <w:p w14:paraId="2B74434B"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0,5854</w:t>
            </w:r>
          </w:p>
        </w:tc>
        <w:tc>
          <w:tcPr>
            <w:tcW w:w="874" w:type="dxa"/>
            <w:shd w:val="clear" w:color="auto" w:fill="auto"/>
            <w:noWrap/>
            <w:vAlign w:val="bottom"/>
            <w:hideMark/>
          </w:tcPr>
          <w:p w14:paraId="264657C2"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0,7042</w:t>
            </w:r>
          </w:p>
        </w:tc>
        <w:tc>
          <w:tcPr>
            <w:tcW w:w="874" w:type="dxa"/>
            <w:shd w:val="clear" w:color="auto" w:fill="auto"/>
            <w:noWrap/>
            <w:vAlign w:val="bottom"/>
            <w:hideMark/>
          </w:tcPr>
          <w:p w14:paraId="73A17A33" w14:textId="77777777" w:rsidR="00C85902" w:rsidRPr="0093157B" w:rsidRDefault="00C85902" w:rsidP="00675CB0">
            <w:pPr>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0,2392</w:t>
            </w:r>
          </w:p>
        </w:tc>
        <w:tc>
          <w:tcPr>
            <w:tcW w:w="874" w:type="dxa"/>
            <w:shd w:val="clear" w:color="auto" w:fill="auto"/>
            <w:noWrap/>
            <w:vAlign w:val="bottom"/>
            <w:hideMark/>
          </w:tcPr>
          <w:p w14:paraId="14D9F6BC" w14:textId="77777777" w:rsidR="00C85902" w:rsidRPr="0093157B" w:rsidRDefault="00C85902" w:rsidP="00675CB0">
            <w:pPr>
              <w:keepNext/>
              <w:spacing w:after="0" w:line="240" w:lineRule="auto"/>
              <w:jc w:val="right"/>
              <w:rPr>
                <w:rFonts w:ascii="Calibri" w:eastAsia="Times New Roman" w:hAnsi="Calibri" w:cs="Calibri"/>
                <w:color w:val="000000"/>
                <w:lang w:eastAsia="de-DE"/>
              </w:rPr>
            </w:pPr>
            <w:r w:rsidRPr="0093157B">
              <w:rPr>
                <w:rFonts w:ascii="Calibri" w:eastAsia="Times New Roman" w:hAnsi="Calibri" w:cs="Calibri"/>
                <w:color w:val="000000"/>
                <w:sz w:val="22"/>
                <w:lang w:eastAsia="de-DE"/>
              </w:rPr>
              <w:t>0,2296</w:t>
            </w:r>
          </w:p>
        </w:tc>
      </w:tr>
    </w:tbl>
    <w:p w14:paraId="5CA73491" w14:textId="77777777" w:rsidR="00C85902" w:rsidRDefault="00C85902" w:rsidP="00A95CAE">
      <w:pPr>
        <w:pStyle w:val="Beschriftung"/>
      </w:pPr>
    </w:p>
    <w:p w14:paraId="15988F25" w14:textId="77777777" w:rsidR="00C85902" w:rsidRDefault="00C85902" w:rsidP="00834B6D">
      <w:r>
        <w:t xml:space="preserve">Es stellte sich heraus, dass die infizierten Cal29 mit eine Duplikationsrate von durchschnittlich 0,98 am schnellsten proliferierten. Dieses Ergebnis wurde mit einem doppelten T-Test in seiner Signifikanz bestätigt </w:t>
      </w:r>
      <w:r w:rsidRPr="00AC6602">
        <w:t xml:space="preserve">(p&lt;0,001). </w:t>
      </w:r>
      <w:r>
        <w:t xml:space="preserve">Auch bei der Zelllinie T24 war auffallend, dass die mit Mykoplasmen infizierten Zellen schneller (0,7) proliferieren als die nicht-infizierten (0,59). Der Doppelte T-Test konnte die Signifikanz jedoch nicht bestätigen </w:t>
      </w:r>
      <w:r w:rsidRPr="00AC6602">
        <w:t>(p</w:t>
      </w:r>
      <w:r w:rsidRPr="00AC6602">
        <w:rPr>
          <w:rFonts w:cs="Arial"/>
        </w:rPr>
        <w:t>≈</w:t>
      </w:r>
      <w:r w:rsidRPr="00AC6602">
        <w:t>0,061).</w:t>
      </w:r>
      <w:r>
        <w:t xml:space="preserve"> Die langsamste Proliferation zeigte sich bei den mit Mykplasmen infizierten HT1197 Zellen mit 0,23. Diese Proliferationsgeschwindigkeit ist aber im Gegensatz zu den Zelllinien T24 und Cal29 nicht deutlich abweichend von den nicht mit Mykoplasmen infizierten HT1197 Zellen (0,24). </w:t>
      </w:r>
    </w:p>
    <w:p w14:paraId="18B84A92" w14:textId="77777777" w:rsidR="00C85902" w:rsidRDefault="00C85902" w:rsidP="00834B6D">
      <w:pPr>
        <w:pStyle w:val="berschrift2"/>
      </w:pPr>
      <w:bookmarkStart w:id="143" w:name="_Toc121158675"/>
      <w:r>
        <w:t>Morphologie von Mykoplasmen infizierten Zellen im Vergleich mit nicht-infizierten Zellen</w:t>
      </w:r>
      <w:bookmarkEnd w:id="143"/>
    </w:p>
    <w:p w14:paraId="71118B7E" w14:textId="77777777" w:rsidR="00C85902" w:rsidRDefault="00C85902" w:rsidP="00834B6D">
      <w:r>
        <w:t>In dieser Arbeit wurde die Morphologie der mit Mykoplasmen infizierten Zelllinien und nativen Zellen mit der Morphologie nicht-infizierter Zellen der gleichen Linie verglichen. Hierfür wurden in regelmäßigen Abständen an der zentralen markierten Stelle der Zellkulturflaschen Bilder der Zellen unter dem Mikroskop in unterschiedlichen Vergrößerungen (10x und 20x) angefertigt. In der 10x-Vergrößerung wurde ein 100</w:t>
      </w:r>
      <w:r w:rsidRPr="008C4356">
        <w:rPr>
          <w:w w:val="50"/>
        </w:rPr>
        <w:t> </w:t>
      </w:r>
      <w:r>
        <w:rPr>
          <w:rFonts w:cs="Arial"/>
        </w:rPr>
        <w:t>µ</w:t>
      </w:r>
      <w:r>
        <w:t>m Maßstab in der rechten Bild Ecke hinzugefügt. In der 20x-Vergrößerung wurde ein 50</w:t>
      </w:r>
      <w:r w:rsidRPr="008C4356">
        <w:rPr>
          <w:w w:val="50"/>
        </w:rPr>
        <w:t> </w:t>
      </w:r>
      <w:r>
        <w:rPr>
          <w:rFonts w:cs="Arial"/>
        </w:rPr>
        <w:t>µ</w:t>
      </w:r>
      <w:r>
        <w:t xml:space="preserve">m Maßstab gewählt und hinzugefügt. </w:t>
      </w:r>
    </w:p>
    <w:p w14:paraId="4921536A" w14:textId="77777777" w:rsidR="00C85902" w:rsidRDefault="00C85902" w:rsidP="00CB3D09">
      <w:pPr>
        <w:pStyle w:val="berschrift3"/>
      </w:pPr>
      <w:bookmarkStart w:id="144" w:name="_Toc121158676"/>
      <w:r>
        <w:t>Morphologische Unterschiede zwischen Cal29 mit und ohne Mykoplasmen Infektion</w:t>
      </w:r>
      <w:bookmarkEnd w:id="144"/>
    </w:p>
    <w:p w14:paraId="1E89E00D" w14:textId="4CBF2B46" w:rsidR="00C85902" w:rsidRDefault="00C85902" w:rsidP="00CB3D09">
      <w:r>
        <w:t xml:space="preserve">Es ist nochmals hervorzuheben, dass die mit Mykoplasmen infizierten Zellen der Zelllinie Cal29 bereits infiziert in Kultur gingen und für die Fragestellung keine frische Infektion stattgefunden hat. Die Zellen wurden am ersten, fünften und siebten Tag nach der Passage fotodokumentiert und miteinander verglichen. Die Fotodokumentation der Zellmorphologie der nicht-infizierten Zellen im Vergleich mit den mit Mykoplasmen infizierten Zellen ist in </w:t>
      </w:r>
      <w:r>
        <w:fldChar w:fldCharType="begin"/>
      </w:r>
      <w:r>
        <w:instrText xml:space="preserve"> REF _Ref114929867 \h </w:instrText>
      </w:r>
      <w:r>
        <w:fldChar w:fldCharType="separate"/>
      </w:r>
      <w:r w:rsidR="00791554">
        <w:t xml:space="preserve">Abbildung </w:t>
      </w:r>
      <w:r w:rsidR="00791554">
        <w:rPr>
          <w:i/>
          <w:iCs/>
          <w:noProof/>
        </w:rPr>
        <w:t>9</w:t>
      </w:r>
      <w:r>
        <w:fldChar w:fldCharType="end"/>
      </w:r>
      <w:r>
        <w:t xml:space="preserve"> zu sehen. </w:t>
      </w:r>
    </w:p>
    <w:p w14:paraId="2A6524B2" w14:textId="77777777" w:rsidR="00C85902" w:rsidRDefault="00C85902" w:rsidP="006B6BAE">
      <w:r>
        <w:t>Bei den nicht-infizierten Cal29 Zellen kann man 24 Stunden nach der Passage bereits deutlich mehr adhärente Zellen und weniger apoptotische Zellen beobachten als bei den mit Mykoplasmen infizierten Cal29 Zellen. Auch fällt auf, dass bei stärker Vergrößerung die Größe der nicht-infizierten Zellen meist circa 50</w:t>
      </w:r>
      <w:r w:rsidRPr="008C4356">
        <w:rPr>
          <w:w w:val="50"/>
        </w:rPr>
        <w:t> </w:t>
      </w:r>
      <w:r>
        <w:rPr>
          <w:rFonts w:cs="Arial"/>
        </w:rPr>
        <w:t xml:space="preserve">µm beträgt und somit im Vergleich mit den infizierten Zellen deutlich (bis zu 2x) größer ist. </w:t>
      </w:r>
    </w:p>
    <w:p w14:paraId="053D8F91" w14:textId="77777777" w:rsidR="00C85902" w:rsidRDefault="00C85902" w:rsidP="00CB3D09">
      <w:r>
        <w:t xml:space="preserve">Auch im Verlauf kann man an Tag 5 nach der Passage klar erkennen, dass die nicht-infizierten Zellen im Vergleich mit den infizierten Zellen deutlich schneller einen konfluierenden Zellrasen bilden, in dem einzelne apoptotischen Zellen zu finden sind. Es bilden sich bei den mit Mykoplasmen infizierten Zellen kleinere Zellverbände mit deutlich mehr Apoptosen. </w:t>
      </w:r>
    </w:p>
    <w:p w14:paraId="25B96B6B" w14:textId="77777777" w:rsidR="00C85902" w:rsidRDefault="00C85902" w:rsidP="00CB3D09">
      <w:r>
        <w:t>Am siebten Tag nach der Passage haben die nicht-infizierten Zellen einen über 90</w:t>
      </w:r>
      <w:r w:rsidRPr="008C4356">
        <w:rPr>
          <w:w w:val="50"/>
        </w:rPr>
        <w:t> </w:t>
      </w:r>
      <w:r>
        <w:t>% konfluenten Zellrasen gebildet und sind kohärent. Es waren auch vermehrt apoptotische Zellen sichtbar, jedoch ist zu vermuten, dass die Zellen aufgrund des zu dichten Wachstums in Apoptose gegangen sind. Die mit Mykoplasmen infizierten Zellen hingegen waren deutlich weniger konfluent und hatten sehr viel kleinere kohärente Zellinseln gebildet. Sie wiesen im Schnitt ein kleineres Zellvolumen auf als die nicht-infizierten Zellen.</w:t>
      </w:r>
    </w:p>
    <w:p w14:paraId="555AB51F" w14:textId="77777777" w:rsidR="00C85902" w:rsidRDefault="00C85902" w:rsidP="00263407">
      <w:pPr>
        <w:keepNext/>
      </w:pPr>
      <w:r>
        <w:rPr>
          <w:noProof/>
        </w:rPr>
        <w:drawing>
          <wp:inline distT="0" distB="0" distL="0" distR="0" wp14:anchorId="59C0ACFC" wp14:editId="4FB913D7">
            <wp:extent cx="5158690" cy="3714750"/>
            <wp:effectExtent l="0" t="0" r="444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632" t="22157" r="19215" b="14925"/>
                    <a:stretch/>
                  </pic:blipFill>
                  <pic:spPr bwMode="auto">
                    <a:xfrm>
                      <a:off x="0" y="0"/>
                      <a:ext cx="5168133" cy="3721550"/>
                    </a:xfrm>
                    <a:prstGeom prst="rect">
                      <a:avLst/>
                    </a:prstGeom>
                    <a:ln>
                      <a:noFill/>
                    </a:ln>
                    <a:extLst>
                      <a:ext uri="{53640926-AAD7-44D8-BBD7-CCE9431645EC}">
                        <a14:shadowObscured xmlns:a14="http://schemas.microsoft.com/office/drawing/2010/main"/>
                      </a:ext>
                    </a:extLst>
                  </pic:spPr>
                </pic:pic>
              </a:graphicData>
            </a:graphic>
          </wp:inline>
        </w:drawing>
      </w:r>
    </w:p>
    <w:p w14:paraId="13E34A85" w14:textId="25F334A3" w:rsidR="00C85902" w:rsidRPr="006A40E8" w:rsidRDefault="00C85902" w:rsidP="006210E5">
      <w:pPr>
        <w:pStyle w:val="Beschriftung"/>
        <w:rPr>
          <w:vanish/>
          <w:specVanish/>
        </w:rPr>
      </w:pPr>
      <w:bookmarkStart w:id="145" w:name="_Ref114929867"/>
      <w:bookmarkStart w:id="146" w:name="_Toc120649886"/>
      <w:r>
        <w:t xml:space="preserve">Abbildung </w:t>
      </w:r>
      <w:r>
        <w:fldChar w:fldCharType="begin"/>
      </w:r>
      <w:r>
        <w:rPr>
          <w:i w:val="0"/>
          <w:iCs w:val="0"/>
        </w:rPr>
        <w:instrText xml:space="preserve"> SEQ Abbildung \* ARABIC </w:instrText>
      </w:r>
      <w:r>
        <w:fldChar w:fldCharType="separate"/>
      </w:r>
      <w:r w:rsidR="00791554">
        <w:rPr>
          <w:i w:val="0"/>
          <w:iCs w:val="0"/>
          <w:noProof/>
        </w:rPr>
        <w:t>9</w:t>
      </w:r>
      <w:r>
        <w:rPr>
          <w:noProof/>
        </w:rPr>
        <w:fldChar w:fldCharType="end"/>
      </w:r>
      <w:bookmarkEnd w:id="145"/>
      <w:r>
        <w:t xml:space="preserve"> Cal29 Tag 1, 5 und 7 nach Passage</w:t>
      </w:r>
      <w:bookmarkEnd w:id="146"/>
    </w:p>
    <w:p w14:paraId="11AE8525" w14:textId="77777777" w:rsidR="00C85902" w:rsidRDefault="00C85902" w:rsidP="006210E5">
      <w:pPr>
        <w:pStyle w:val="Beschriftung"/>
      </w:pPr>
      <w:r>
        <w:t xml:space="preserve"> </w:t>
      </w:r>
      <w:r>
        <w:br/>
        <w:t xml:space="preserve">In dieser Abbildung ist die Fotodokumentation der Morphologischen Unterschiede zwischen den mit Mykoplasmen infizierten und den nicht-infizierten Cal29 Zellen dokumentiert. Die Dokumentation erfolgte am ersten, fünften und siebten Tag nach Passage jeweils in 10- und 20-facher Vergrößerung. Die infizierten Zellen weisen im Vergleich mit den nicht-infizierten eine kleinere Zellgröße und ein weniger kohärentes Wachstum sowie eine höhere Rate an Zelltod auf. </w:t>
      </w:r>
    </w:p>
    <w:p w14:paraId="6F369216" w14:textId="77777777" w:rsidR="00C85902" w:rsidRDefault="00C85902" w:rsidP="00204F8E">
      <w:pPr>
        <w:pStyle w:val="berschrift3"/>
      </w:pPr>
      <w:bookmarkStart w:id="147" w:name="_Toc121158677"/>
      <w:r>
        <w:t>Morphologische Unterschiede zwischen T24 mit und ohne Mykoplasmen Infektion</w:t>
      </w:r>
      <w:bookmarkEnd w:id="147"/>
      <w:r>
        <w:t xml:space="preserve"> </w:t>
      </w:r>
    </w:p>
    <w:p w14:paraId="1B8F584C" w14:textId="2BE02520" w:rsidR="00C85902" w:rsidRDefault="00C85902" w:rsidP="00204F8E">
      <w:r>
        <w:t>Es ist auch bei T24 nochmals hervorzuheben, dass die mit Mykoplasmen infizierte Zelllinie T24 bereits infiziert in Kultur ging und für die Fragestellung keine frische Infektion stattgefunden hat. Die Zellen wurden am ersten, fünften und siebten Tag (</w:t>
      </w:r>
      <w:r>
        <w:fldChar w:fldCharType="begin"/>
      </w:r>
      <w:r>
        <w:instrText xml:space="preserve"> REF _Ref99294954 \h </w:instrText>
      </w:r>
      <w:r>
        <w:fldChar w:fldCharType="separate"/>
      </w:r>
      <w:r w:rsidR="00791554">
        <w:t xml:space="preserve">Abbildung </w:t>
      </w:r>
      <w:r w:rsidR="00791554">
        <w:rPr>
          <w:i/>
          <w:iCs/>
          <w:noProof/>
        </w:rPr>
        <w:t>10</w:t>
      </w:r>
      <w:r>
        <w:fldChar w:fldCharType="end"/>
      </w:r>
      <w:r>
        <w:t xml:space="preserve">)  nach der Passage fotodokumentiert und miteinander verglichen. </w:t>
      </w:r>
    </w:p>
    <w:p w14:paraId="653B0A4A" w14:textId="77777777" w:rsidR="00C85902" w:rsidRDefault="00C85902" w:rsidP="00204F8E">
      <w:r>
        <w:t>Bei T24 war auffallend, dass die mit Mykoplasmen infizierten Zellen am ersten Tag nach der Passage schneller an Volumen zunahmen als die nicht-infizierten Zellen. Dies fiel schon bei niedriger Vergrößerung (10x) auf und wurde bei stärkerer Vergrößerung (20x) noch deutlicher, da hier die infizierten Zellen teilweise über 50</w:t>
      </w:r>
      <w:r w:rsidRPr="008C4356">
        <w:rPr>
          <w:w w:val="50"/>
        </w:rPr>
        <w:t> </w:t>
      </w:r>
      <w:r>
        <w:rPr>
          <w:rFonts w:cs="Arial"/>
        </w:rPr>
        <w:t>µ</w:t>
      </w:r>
      <w:r>
        <w:t>m groß waren. Im weiteren Verlauf schien die Infektion mit Mykoplasmen jedoch hinderlich am Wachstums- und Expansionsverhalten dieser Zelllinien zu sein, da bereits an Tag 5 die nicht-infizierten Zellen deutlich dichter gewachsen waren und ein höheres Proliferationsverhalten zeigten als die infizierten Zellen. Optisch ließ sich vermuten, dass die infizierten Zellen deutlich weniger kohärent sind als die nicht-infizierten, bei welchen sich kohärente Zellverbände zeigen. Sieben Tage nach der Passage sah man sowohl in der 10x- als auch 20x- Vergrößerung, dass die mit Mykoplasmen infizierten Zellen der Zelllinie T24 im Vergleich mit den nicht-infizierten Zellen der gleichen Linie immer noch größer, aber weniger kohärent waren und eher solitär lagen. Auch waren deutlich mehr Zellen durch Zelltod zu Grunde gegangen waren. Bei den nicht-infizierten Zellen hatte sich innerhalb der sieben Tage ein dichter Zellrasen gebildet, bei dem die Zellen zu ca. 90</w:t>
      </w:r>
      <w:r w:rsidRPr="008C4356">
        <w:rPr>
          <w:w w:val="50"/>
        </w:rPr>
        <w:t> </w:t>
      </w:r>
      <w:r>
        <w:t xml:space="preserve">% konfluent sind. Auch bei den nicht-infizierten Zellen waren vereinzelte apoptotische Zellen auszumachen, aber deutlich weniger als bei den mit Mykoplasmen infizierten Zellen. Formal wurde in dieser Untersuchung nicht unterschieden, ob der Zelltod durch Apoptose oder Nekrose zustande kam. </w:t>
      </w:r>
    </w:p>
    <w:p w14:paraId="250698F1" w14:textId="77777777" w:rsidR="00C85902" w:rsidRDefault="00C85902" w:rsidP="00263407">
      <w:pPr>
        <w:keepNext/>
      </w:pPr>
      <w:r>
        <w:rPr>
          <w:noProof/>
        </w:rPr>
        <w:drawing>
          <wp:inline distT="0" distB="0" distL="0" distR="0" wp14:anchorId="0A3B0636" wp14:editId="1569F6B3">
            <wp:extent cx="5259035" cy="36322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9">
                      <a:extLst>
                        <a:ext uri="{28A0092B-C50C-407E-A947-70E740481C1C}">
                          <a14:useLocalDpi xmlns:a14="http://schemas.microsoft.com/office/drawing/2010/main" val="0"/>
                        </a:ext>
                      </a:extLst>
                    </a:blip>
                    <a:srcRect t="37883" b="23266"/>
                    <a:stretch/>
                  </pic:blipFill>
                  <pic:spPr bwMode="auto">
                    <a:xfrm>
                      <a:off x="0" y="0"/>
                      <a:ext cx="5276779" cy="3644455"/>
                    </a:xfrm>
                    <a:prstGeom prst="rect">
                      <a:avLst/>
                    </a:prstGeom>
                    <a:ln>
                      <a:noFill/>
                    </a:ln>
                    <a:extLst>
                      <a:ext uri="{53640926-AAD7-44D8-BBD7-CCE9431645EC}">
                        <a14:shadowObscured xmlns:a14="http://schemas.microsoft.com/office/drawing/2010/main"/>
                      </a:ext>
                    </a:extLst>
                  </pic:spPr>
                </pic:pic>
              </a:graphicData>
            </a:graphic>
          </wp:inline>
        </w:drawing>
      </w:r>
    </w:p>
    <w:p w14:paraId="09262A26" w14:textId="3EF1FDCC" w:rsidR="00C85902" w:rsidRPr="00E564E4" w:rsidRDefault="00C85902" w:rsidP="006210E5">
      <w:pPr>
        <w:pStyle w:val="Beschriftung"/>
        <w:rPr>
          <w:vanish/>
          <w:specVanish/>
        </w:rPr>
      </w:pPr>
      <w:bookmarkStart w:id="148" w:name="_Ref99294954"/>
      <w:bookmarkStart w:id="149" w:name="_Toc120649887"/>
      <w:r>
        <w:t xml:space="preserve">Abbildung </w:t>
      </w:r>
      <w:r>
        <w:fldChar w:fldCharType="begin"/>
      </w:r>
      <w:r>
        <w:rPr>
          <w:i w:val="0"/>
          <w:iCs w:val="0"/>
        </w:rPr>
        <w:instrText xml:space="preserve"> SEQ Abbildung \* ARABIC </w:instrText>
      </w:r>
      <w:r>
        <w:fldChar w:fldCharType="separate"/>
      </w:r>
      <w:r w:rsidR="00791554">
        <w:rPr>
          <w:i w:val="0"/>
          <w:iCs w:val="0"/>
          <w:noProof/>
        </w:rPr>
        <w:t>10</w:t>
      </w:r>
      <w:r>
        <w:rPr>
          <w:noProof/>
        </w:rPr>
        <w:fldChar w:fldCharType="end"/>
      </w:r>
      <w:bookmarkEnd w:id="148"/>
      <w:r>
        <w:t xml:space="preserve"> T24 Tag 1, 5 und 7 nach Passage</w:t>
      </w:r>
      <w:bookmarkEnd w:id="149"/>
      <w:r>
        <w:t xml:space="preserve"> </w:t>
      </w:r>
    </w:p>
    <w:p w14:paraId="182BAA0E" w14:textId="77777777" w:rsidR="00C85902" w:rsidRPr="00D34BFE" w:rsidRDefault="00C85902" w:rsidP="00D34BFE">
      <w:pPr>
        <w:pStyle w:val="Beschriftung"/>
      </w:pPr>
      <w:r>
        <w:t xml:space="preserve"> </w:t>
      </w:r>
      <w:r>
        <w:br/>
        <w:t xml:space="preserve">In dieser Abbildung ist die Fotodokumentation der Morphologischen Unterschiede zwischen den mit Mykoplasmen infizierten und den nicht-infizierten T24 Zellen dokumentiert. Die Dokumentation erfolgte am ersten, fünften und siebten Tag nach Passage jeweils in 10- und 20-facher Vergrößerung. Bei den mit Mykplasmen infizierten Zellen ist zunächst eine schnellere Volumen Zunahme als bei den nicht-infizierten Zellen zu beobachten. Im Verlauf weisen die infizierten Zellen jedoch ein deutlich weniger kohärentes Wachstum und eine höhere Zelltodrate auf. </w:t>
      </w:r>
    </w:p>
    <w:p w14:paraId="5E27A20B" w14:textId="77777777" w:rsidR="00C85902" w:rsidRDefault="00C85902" w:rsidP="00204F8E">
      <w:pPr>
        <w:pStyle w:val="berschrift3"/>
      </w:pPr>
      <w:bookmarkStart w:id="150" w:name="_Toc121158678"/>
      <w:r>
        <w:t>Morphologische Unterschiede zwischen HT1197 mit und ohne Mykoplasmen Infektion</w:t>
      </w:r>
      <w:bookmarkEnd w:id="150"/>
    </w:p>
    <w:p w14:paraId="31805A5C" w14:textId="69E405E5" w:rsidR="00C85902" w:rsidRDefault="00C85902" w:rsidP="00615D42">
      <w:r>
        <w:t xml:space="preserve">Anders als bei den zwei anderen Zelllinien wurde bei HT1197 eine frische Infektion mit Mykoplasmen durchgeführt. Die Methode, nach welcher die Infektion erfolgte, ist beschrieben in Material und Methoden ( </w:t>
      </w:r>
      <w:r>
        <w:fldChar w:fldCharType="begin"/>
      </w:r>
      <w:r>
        <w:instrText xml:space="preserve"> REF _Ref67389188 \w \h </w:instrText>
      </w:r>
      <w:r>
        <w:fldChar w:fldCharType="separate"/>
      </w:r>
      <w:r w:rsidR="00791554">
        <w:t>2.3.3</w:t>
      </w:r>
      <w:r>
        <w:fldChar w:fldCharType="end"/>
      </w:r>
      <w:r>
        <w:t xml:space="preserve"> </w:t>
      </w:r>
      <w:r>
        <w:fldChar w:fldCharType="begin"/>
      </w:r>
      <w:r>
        <w:instrText xml:space="preserve"> REF _Ref67389188 \h </w:instrText>
      </w:r>
      <w:r>
        <w:fldChar w:fldCharType="separate"/>
      </w:r>
      <w:r w:rsidR="00791554">
        <w:t>Infektion von HT1197, HL20/31 und HL20/32</w:t>
      </w:r>
      <w:r>
        <w:fldChar w:fldCharType="end"/>
      </w:r>
      <w:r>
        <w:t>)</w:t>
      </w:r>
    </w:p>
    <w:p w14:paraId="24175783" w14:textId="7086D58D" w:rsidR="00C85902" w:rsidRDefault="00C85902" w:rsidP="00615D42">
      <w:r>
        <w:t>Aufgrund des allgemein sehr langsamen Wachstums und der Fragilität der HT1197 Zelllinie wurden die Zellen erst 24 Stunden nach der Passage infiziert und anders als die anderen Zelllinien im 14-tägigen Rhythmus passagiert. Am zweiten Tag nach der Passage erfolgte die erste Foto Dokumentation (</w:t>
      </w:r>
      <w:r>
        <w:fldChar w:fldCharType="begin"/>
      </w:r>
      <w:r>
        <w:instrText xml:space="preserve"> REF _Ref99297322 \h </w:instrText>
      </w:r>
      <w:r>
        <w:fldChar w:fldCharType="separate"/>
      </w:r>
      <w:r w:rsidR="00791554">
        <w:t xml:space="preserve">Abbildung </w:t>
      </w:r>
      <w:r w:rsidR="00791554">
        <w:rPr>
          <w:noProof/>
        </w:rPr>
        <w:t>11</w:t>
      </w:r>
      <w:r>
        <w:fldChar w:fldCharType="end"/>
      </w:r>
      <w:r>
        <w:t xml:space="preserve">). Die weiteren Tage der Dokumentation waren der fünfte, und vierzehnte Tag nach der Passage. </w:t>
      </w:r>
    </w:p>
    <w:p w14:paraId="2E84F922" w14:textId="77777777" w:rsidR="00C85902" w:rsidRDefault="00C85902" w:rsidP="00615D42">
      <w:r>
        <w:t xml:space="preserve">Bei der Zelllinie HT1197 war auffallend, dass auch bei den nicht-infizierten Zellen in den ersten zwei Tagen sehr viele Zellen apoptotisch wurden und nur eine kleinere Anzahl in der Zellkulturflasche adhärent wurde und zu wachsen begann. Am zweiten Tag nach der Passage und somit 24 Stunden nach der Infektion mit Mykoplasmen, konnte man keinen deutlichen Unterschied im Wachstumsverhalten zwischen den Zellen erkennen. </w:t>
      </w:r>
    </w:p>
    <w:p w14:paraId="3E565E33" w14:textId="77777777" w:rsidR="00C85902" w:rsidRDefault="00C85902" w:rsidP="00615D42">
      <w:r>
        <w:t>Am fünften Tag nach der Passage hingegen sah man einen klaren Unterschied. Die nicht-infizierten Zellen hatten deutlich an Größe zugelegt und waren zwischen 50 und 100</w:t>
      </w:r>
      <w:r w:rsidRPr="008C4356">
        <w:rPr>
          <w:w w:val="50"/>
        </w:rPr>
        <w:t> </w:t>
      </w:r>
      <w:r>
        <w:rPr>
          <w:rFonts w:cs="Arial"/>
        </w:rPr>
        <w:t xml:space="preserve">µm groß. Des Weiteren </w:t>
      </w:r>
      <w:r>
        <w:t>wuchsen die nicht-infizierten Zellen kohärent und bildeten Zellverbände. Es waren immer noch vereinzelt apoptotische Zellen zu sehen. Die mit Mykoplasmen infizierten Zellen bildeten im Gegensatz dazu deutlich weniger kohärente Zellverbände und lagen einzeln oder in kleinen Zellverbänden, bestehend aus bis zu drei Zellen vor. Auch die Größe war mit maximal 50</w:t>
      </w:r>
      <w:r w:rsidRPr="008C4356">
        <w:rPr>
          <w:w w:val="50"/>
        </w:rPr>
        <w:t> </w:t>
      </w:r>
      <w:r>
        <w:rPr>
          <w:rFonts w:cs="Arial"/>
        </w:rPr>
        <w:t>µ</w:t>
      </w:r>
      <w:r>
        <w:t xml:space="preserve">m deutlich geringer. Auch bei den infizierten Zellen sind apoptotische Zellen und Zelldebris zu sehen. </w:t>
      </w:r>
    </w:p>
    <w:p w14:paraId="1268A3FF" w14:textId="77777777" w:rsidR="00C85902" w:rsidRDefault="00C85902" w:rsidP="00615D42">
      <w:r>
        <w:t>Am siebten Tag nach der Passage sah man bei den nicht-infizierten Zellen eine Kompression der im Zellverband zentralgelagerten Zellen, während die außen gelagerten Zellen eine Größe zwischen 50 und 100</w:t>
      </w:r>
      <w:r w:rsidRPr="008C4356">
        <w:rPr>
          <w:w w:val="50"/>
        </w:rPr>
        <w:t> </w:t>
      </w:r>
      <w:r>
        <w:rPr>
          <w:rFonts w:cs="Arial"/>
        </w:rPr>
        <w:t>µ</w:t>
      </w:r>
      <w:r>
        <w:t>m aufwiesen. Auch zu diesem Zeitpunkt waren einige apoptische Zellen vorhanden, obwohl die Zellkultur noch nicht annähernd konfluent war. Die infizierten Zellen bildeten auch zu diesem Zeitpunkt nur kleinste Zellverbände von 3-4 Zellen, während ihre Größe annähernd konstant zum fünften Tag nach der Passage geblieben war. Es schien jedoch so, als wäre die Zelltodrate noch etwas höher und etwas mehr Zelldebris erkennbar. Im Rahmen dieser Untersuchung wurde nicht unterschieden, ob der Zelltod durch Apoptose oder Nekrose verursacht wurde.</w:t>
      </w:r>
    </w:p>
    <w:p w14:paraId="53681C77" w14:textId="77777777" w:rsidR="00C85902" w:rsidRDefault="00C85902" w:rsidP="00615D42">
      <w:r>
        <w:t xml:space="preserve">Zwei Wochen nach der Passage hatten die nicht-infizierten Zellen größere Areale mit konfluenten Zellrasen gebildet. Die zentral gelegenen Zellen wirkten weiterhin komprimiert, während die äußeren Zellen spindelförmig ausliefen. Es waren etwas weniger apoptotische Zellen erkennbar. Die infizierten Zellen hatten im Vergleich zu vorherigen Aufnahmen größere Zellinseln und Zellverbände gebildet, aber wiesen morphologische Unterschiede auf. Sie waren deutlich kleiner und wirken deutlich kompakter ohne spindelförmige Ausläufer. Auch wiesen sie deutlich mehr Zelldebris auf als die gesunden Zellen. </w:t>
      </w:r>
    </w:p>
    <w:p w14:paraId="5C18EF39" w14:textId="77777777" w:rsidR="00C85902" w:rsidRDefault="00C85902" w:rsidP="005F2365">
      <w:pPr>
        <w:keepNext/>
      </w:pPr>
      <w:r>
        <w:rPr>
          <w:noProof/>
        </w:rPr>
        <w:drawing>
          <wp:inline distT="0" distB="0" distL="0" distR="0" wp14:anchorId="1D29E388" wp14:editId="6B0A9C37">
            <wp:extent cx="5397500" cy="487760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20">
                      <a:extLst>
                        <a:ext uri="{28A0092B-C50C-407E-A947-70E740481C1C}">
                          <a14:useLocalDpi xmlns:a14="http://schemas.microsoft.com/office/drawing/2010/main" val="0"/>
                        </a:ext>
                      </a:extLst>
                    </a:blip>
                    <a:srcRect t="26272" b="22894"/>
                    <a:stretch/>
                  </pic:blipFill>
                  <pic:spPr bwMode="auto">
                    <a:xfrm>
                      <a:off x="0" y="0"/>
                      <a:ext cx="5405587" cy="4884911"/>
                    </a:xfrm>
                    <a:prstGeom prst="rect">
                      <a:avLst/>
                    </a:prstGeom>
                    <a:ln>
                      <a:noFill/>
                    </a:ln>
                    <a:extLst>
                      <a:ext uri="{53640926-AAD7-44D8-BBD7-CCE9431645EC}">
                        <a14:shadowObscured xmlns:a14="http://schemas.microsoft.com/office/drawing/2010/main"/>
                      </a:ext>
                    </a:extLst>
                  </pic:spPr>
                </pic:pic>
              </a:graphicData>
            </a:graphic>
          </wp:inline>
        </w:drawing>
      </w:r>
    </w:p>
    <w:p w14:paraId="439E506C" w14:textId="47D03511" w:rsidR="00C85902" w:rsidRPr="00D34BFE" w:rsidRDefault="00C85902" w:rsidP="00321EFC">
      <w:pPr>
        <w:pStyle w:val="Beschriftung"/>
        <w:rPr>
          <w:vanish/>
          <w:specVanish/>
        </w:rPr>
      </w:pPr>
      <w:bookmarkStart w:id="151" w:name="_Ref99297322"/>
      <w:bookmarkStart w:id="152" w:name="_Toc120649888"/>
      <w:r>
        <w:t xml:space="preserve">Abbildung </w:t>
      </w:r>
      <w:r>
        <w:fldChar w:fldCharType="begin"/>
      </w:r>
      <w:r>
        <w:instrText xml:space="preserve"> SEQ Abbildung \* ARABIC </w:instrText>
      </w:r>
      <w:r>
        <w:fldChar w:fldCharType="separate"/>
      </w:r>
      <w:r w:rsidR="00791554">
        <w:rPr>
          <w:noProof/>
        </w:rPr>
        <w:t>11</w:t>
      </w:r>
      <w:r>
        <w:rPr>
          <w:noProof/>
        </w:rPr>
        <w:fldChar w:fldCharType="end"/>
      </w:r>
      <w:bookmarkEnd w:id="151"/>
      <w:r>
        <w:t xml:space="preserve"> HT1197 Tag 2, 5, 7 und 14 nach Passage</w:t>
      </w:r>
      <w:bookmarkEnd w:id="152"/>
      <w:r>
        <w:t xml:space="preserve"> </w:t>
      </w:r>
    </w:p>
    <w:p w14:paraId="2B801C99" w14:textId="77777777" w:rsidR="00C85902" w:rsidRPr="00D01DC6" w:rsidRDefault="00C85902" w:rsidP="00321EFC">
      <w:pPr>
        <w:pStyle w:val="Beschriftung"/>
      </w:pPr>
      <w:r>
        <w:t xml:space="preserve"> </w:t>
      </w:r>
      <w:r>
        <w:br/>
        <w:t xml:space="preserve">In dieser Abbildung ist die Fotodokumentation der Morphologischen Unterschiede zwischen den mit Mykoplasmen infizierten und den nicht-infizierten HT1197 Zellen dokumentiert. Die Dokumentation erfolgte am zweiten, fünften, siebten und vierzehnten Tag nach Passage, jeweils in 10- und 20-facher Vergrößerung. Die mit Mykoplasmen infizierten Zellen weisen eine deutlich geringere Kohärenz auf </w:t>
      </w:r>
    </w:p>
    <w:p w14:paraId="6CD5D97E" w14:textId="77777777" w:rsidR="00C85902" w:rsidRDefault="00C85902" w:rsidP="00F06D14">
      <w:pPr>
        <w:pStyle w:val="berschrift3"/>
      </w:pPr>
      <w:bookmarkStart w:id="153" w:name="_Toc121158679"/>
      <w:r>
        <w:t>Morphologische Unterschiede zwischen aus Harnleitern isolierten Zellen mit und ohne Mykoplasmen Infektion</w:t>
      </w:r>
      <w:bookmarkEnd w:id="153"/>
    </w:p>
    <w:p w14:paraId="6305B4A7" w14:textId="0EA12428" w:rsidR="00C85902" w:rsidRDefault="00C85902" w:rsidP="00F06D14">
      <w:r>
        <w:t xml:space="preserve">Wie bei der Zelllinie HT1197 erfolgte bei den aus Harnleitern isolierten Zellen eine frische Infektion mit Mykoplasmen. Die Methode, nach welcher die Infektion erfolgte, ist beschrieben in Material und Methoden ( </w:t>
      </w:r>
      <w:r>
        <w:fldChar w:fldCharType="begin"/>
      </w:r>
      <w:r>
        <w:instrText xml:space="preserve"> REF _Ref67389188 \w \h </w:instrText>
      </w:r>
      <w:r>
        <w:fldChar w:fldCharType="separate"/>
      </w:r>
      <w:r w:rsidR="00791554">
        <w:t>2.3.3</w:t>
      </w:r>
      <w:r>
        <w:fldChar w:fldCharType="end"/>
      </w:r>
      <w:r>
        <w:t xml:space="preserve"> </w:t>
      </w:r>
      <w:r>
        <w:fldChar w:fldCharType="begin"/>
      </w:r>
      <w:r>
        <w:instrText xml:space="preserve"> REF _Ref67389188 \h </w:instrText>
      </w:r>
      <w:r>
        <w:fldChar w:fldCharType="separate"/>
      </w:r>
      <w:r w:rsidR="00791554">
        <w:t>Infektion von HT1197, HL20/31 und HL20/32</w:t>
      </w:r>
      <w:r>
        <w:fldChar w:fldCharType="end"/>
      </w:r>
      <w:r>
        <w:t>)</w:t>
      </w:r>
    </w:p>
    <w:p w14:paraId="6CF04A80" w14:textId="77777777" w:rsidR="00C85902" w:rsidRDefault="00C85902" w:rsidP="00F06D14">
      <w:r>
        <w:t>Aufgrund des sehr langsamen Wachstums und der Fragilität der Harnleiterzellen wurden die Zellen erst für die Dauer von 9 Tagen nach der zweiten Passage expandiert und erst nach dieser Zeit infiziert und im 21-tägigen Rhythmus passagiert. Zum Zeitpunkt der Infektion befanden sich die Zellen bereits in der zweiten Passage. Am ersten Tag nach der Infektion mit Mykoplasmen erfolgte die erste Foto Dokumentation sowohl der infizierten als auch der nicht-infizierten Harnleiterzellen. Die weiteren Tage der Dokumentation waren der neunte, zwölfte, achtzehnte und 21. Tag nach der Passage. Beim Vergleich der aus Harnleitern isolierten Zellen wurde beachtet, dass es sich bei HL 20/31 um einen tumorfreien Harnleiter handelte, während HL 20/32 ein Harnleiter mit Urothelkarzinom war.</w:t>
      </w:r>
    </w:p>
    <w:p w14:paraId="5966F68D" w14:textId="77777777" w:rsidR="00C85902" w:rsidRDefault="00C85902" w:rsidP="00621E40">
      <w:pPr>
        <w:pStyle w:val="berschrift4"/>
      </w:pPr>
      <w:r>
        <w:t>Morphologische Unterschiede zwischen mit Mykoplasmen infizierten und Mykoplasmen freien aus tumorfreien Harnleitern isolierten Zellen (HL 20/31)</w:t>
      </w:r>
    </w:p>
    <w:p w14:paraId="5E0D6858" w14:textId="45F0FE81" w:rsidR="00C85902" w:rsidRDefault="00C85902" w:rsidP="00CD1F2F">
      <w:r>
        <w:t xml:space="preserve">Bei den aus dem tumorfreien Harnleiter gewonnenen nicht-infizierten Urothelzellen (HL20/31) ließ sich über den gesamten beobachteten Zeitraum (siehe </w:t>
      </w:r>
      <w:r>
        <w:fldChar w:fldCharType="begin"/>
      </w:r>
      <w:r>
        <w:instrText xml:space="preserve"> REF _Ref103067830 \h </w:instrText>
      </w:r>
      <w:r>
        <w:fldChar w:fldCharType="separate"/>
      </w:r>
      <w:r w:rsidR="00791554">
        <w:t xml:space="preserve">Abbildung </w:t>
      </w:r>
      <w:r w:rsidR="00791554">
        <w:rPr>
          <w:noProof/>
        </w:rPr>
        <w:t>12</w:t>
      </w:r>
      <w:r>
        <w:fldChar w:fldCharType="end"/>
      </w:r>
      <w:r>
        <w:t>) ein flächenhaft dichtes und kohärentes Wachstum beobachten. Die Zellen waren nahezu 100% konfluent in der T25 Zellkulturflasche und wiesen ab dem achtzehnten Tag nach der Passage eine erhöhte Rate an apoptotischen Zellen auf. Die Zellgröße war mit ca. 50-75</w:t>
      </w:r>
      <w:r w:rsidRPr="008C4356">
        <w:rPr>
          <w:w w:val="50"/>
        </w:rPr>
        <w:t> </w:t>
      </w:r>
      <w:r>
        <w:rPr>
          <w:rFonts w:cs="Arial"/>
        </w:rPr>
        <w:t>µ</w:t>
      </w:r>
      <w:r>
        <w:t xml:space="preserve">m über den gesamten Zeitraum annähernd konstant.  </w:t>
      </w:r>
    </w:p>
    <w:p w14:paraId="4368F21A" w14:textId="77777777" w:rsidR="00C85902" w:rsidRDefault="00C85902" w:rsidP="00705B24">
      <w:r>
        <w:t>Die mit Mykoplasmen infizierten, jedoch tumorfreien Urothelzellen wiesen am zwölften Tag nach der Passage, entsprechend dem vierten Tag nach der Infektion, keinen merklichen morphologischen Unterschied zu den nicht-infizierten Zellen auf. Dies änderte sich am achtzehnten Tag nach der Passage, da nun trotz kohärenter Zellen deutlich mehr apoptotische Zellen vorhanden waren und die Zellgröße mit maximal 50</w:t>
      </w:r>
      <w:r w:rsidRPr="008C4356">
        <w:rPr>
          <w:w w:val="50"/>
        </w:rPr>
        <w:t> </w:t>
      </w:r>
      <w:r>
        <w:rPr>
          <w:rFonts w:cs="Arial"/>
        </w:rPr>
        <w:t>µ</w:t>
      </w:r>
      <w:r>
        <w:t>m kleiner ausfiel als die der nicht-infizierten Zellen am gleichen Tag nach der Passage. Diese Eigenschaften verstärkten sich bis zum 21. Tag nach Passage deutlich, da nun bei den infizierten Zellen eine Großzahl der Zellen durch Zelltod zu Grunde gegangen war und eine geringere Zellgröße um 25</w:t>
      </w:r>
      <w:r w:rsidRPr="008C4356">
        <w:rPr>
          <w:w w:val="50"/>
        </w:rPr>
        <w:t> </w:t>
      </w:r>
      <w:r>
        <w:rPr>
          <w:rFonts w:cs="Arial"/>
        </w:rPr>
        <w:t xml:space="preserve">µm aufwiesen. Des Weiteren war auffallend, dass die Zellen nun nicht mehr so kohärent waren wie zuvor und auch nicht so konfluent wie die nicht-infizierte Vergleichspopulation. Formal konnte im Rahmen dieses Versuchs nicht zwischen Zelltod durch Nekrose oder durch Apoptose unterschieden werden. </w:t>
      </w:r>
    </w:p>
    <w:p w14:paraId="2C1CAC22" w14:textId="77777777" w:rsidR="00C85902" w:rsidRDefault="00C85902" w:rsidP="00392D74">
      <w:pPr>
        <w:keepNext/>
      </w:pPr>
      <w:r>
        <w:rPr>
          <w:noProof/>
        </w:rPr>
        <w:drawing>
          <wp:inline distT="0" distB="0" distL="0" distR="0" wp14:anchorId="1117D295" wp14:editId="59F6677C">
            <wp:extent cx="5213350" cy="4718089"/>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21">
                      <a:extLst>
                        <a:ext uri="{28A0092B-C50C-407E-A947-70E740481C1C}">
                          <a14:useLocalDpi xmlns:a14="http://schemas.microsoft.com/office/drawing/2010/main" val="0"/>
                        </a:ext>
                      </a:extLst>
                    </a:blip>
                    <a:srcRect t="25901" b="23192"/>
                    <a:stretch/>
                  </pic:blipFill>
                  <pic:spPr bwMode="auto">
                    <a:xfrm>
                      <a:off x="0" y="0"/>
                      <a:ext cx="5227677" cy="4731055"/>
                    </a:xfrm>
                    <a:prstGeom prst="rect">
                      <a:avLst/>
                    </a:prstGeom>
                    <a:ln>
                      <a:noFill/>
                    </a:ln>
                    <a:extLst>
                      <a:ext uri="{53640926-AAD7-44D8-BBD7-CCE9431645EC}">
                        <a14:shadowObscured xmlns:a14="http://schemas.microsoft.com/office/drawing/2010/main"/>
                      </a:ext>
                    </a:extLst>
                  </pic:spPr>
                </pic:pic>
              </a:graphicData>
            </a:graphic>
          </wp:inline>
        </w:drawing>
      </w:r>
    </w:p>
    <w:p w14:paraId="63046246" w14:textId="23168ADC" w:rsidR="00C85902" w:rsidRPr="00D34BFE" w:rsidRDefault="00C85902" w:rsidP="00392D74">
      <w:pPr>
        <w:pStyle w:val="Beschriftung"/>
        <w:rPr>
          <w:vanish/>
          <w:specVanish/>
        </w:rPr>
      </w:pPr>
      <w:bookmarkStart w:id="154" w:name="_Ref103067830"/>
      <w:bookmarkStart w:id="155" w:name="_Ref103067825"/>
      <w:bookmarkStart w:id="156" w:name="_Toc120649889"/>
      <w:r>
        <w:t xml:space="preserve">Abbildung </w:t>
      </w:r>
      <w:r>
        <w:fldChar w:fldCharType="begin"/>
      </w:r>
      <w:r>
        <w:instrText xml:space="preserve"> SEQ Abbildung \* ARABIC </w:instrText>
      </w:r>
      <w:r>
        <w:fldChar w:fldCharType="separate"/>
      </w:r>
      <w:r w:rsidR="00791554">
        <w:rPr>
          <w:noProof/>
        </w:rPr>
        <w:t>12</w:t>
      </w:r>
      <w:r>
        <w:rPr>
          <w:noProof/>
        </w:rPr>
        <w:fldChar w:fldCharType="end"/>
      </w:r>
      <w:bookmarkEnd w:id="154"/>
      <w:r>
        <w:t xml:space="preserve"> HL20/31 mit und ohne Infektion mit Mykoplasmen an Tag 9, 14, 18 und 21 nach der Passage</w:t>
      </w:r>
      <w:bookmarkEnd w:id="155"/>
      <w:bookmarkEnd w:id="156"/>
      <w:r>
        <w:t xml:space="preserve"> </w:t>
      </w:r>
    </w:p>
    <w:p w14:paraId="3A3B1409" w14:textId="77777777" w:rsidR="00C85902" w:rsidRDefault="00C85902" w:rsidP="00392D74">
      <w:pPr>
        <w:pStyle w:val="Beschriftung"/>
      </w:pPr>
      <w:r>
        <w:t xml:space="preserve"> </w:t>
      </w:r>
      <w:r>
        <w:br/>
        <w:t xml:space="preserve">In dieser Abbildung ist die Fotodokumentation der Morphologischen Unterschiede zwischen den mit Mykoplasmen infizierten und den nicht-infizierten HL20/31 Zellen dokumentiert. Die Dokumentation erfolgte am neunten Tag nach Passage, entsprechend dem ersten Tag nach der Infektion mit Mykoplasmen. Des Weiteren am zwölften, achtzehnten und 21. Tag nach Passage. Die Aufnahme erfolgte jeweils in 10- und 20-facher Vergrößerung. Die mit Mykoplasmen infizierten Zellen weisen im Verlauf eine kleinere Zellgröße und höhere Zelltod Raten auf als die nicht-infizierten. </w:t>
      </w:r>
    </w:p>
    <w:p w14:paraId="077C79BC" w14:textId="77777777" w:rsidR="00C85902" w:rsidRDefault="00C85902" w:rsidP="00621E40">
      <w:pPr>
        <w:pStyle w:val="berschrift4"/>
      </w:pPr>
      <w:r>
        <w:t>Morphologische Unterschiede zwischen Mykoplasmen infizierten und Mykoplasmen freien aus Harnleitern mit Urothelkarzinom isolierten Zellen (HL 20/32)</w:t>
      </w:r>
    </w:p>
    <w:p w14:paraId="4D56DA51" w14:textId="4B9D766D" w:rsidR="00C85902" w:rsidRDefault="00C85902" w:rsidP="00BE7215">
      <w:r>
        <w:t xml:space="preserve">Bei den aus einem Präparat mit Urothelkarzinom isolierten Harnleiterzellen war auffallend, dass sowohl die infizierten als auch die nicht-infizierten Urothelzellen am neunten Tag nach der Passage nicht annähernd konfluent und nur wenig kohärent waren (siehe </w:t>
      </w:r>
      <w:r>
        <w:fldChar w:fldCharType="begin"/>
      </w:r>
      <w:r>
        <w:instrText xml:space="preserve"> REF _Ref103067872 \h </w:instrText>
      </w:r>
      <w:r>
        <w:fldChar w:fldCharType="separate"/>
      </w:r>
      <w:r w:rsidR="00791554">
        <w:t xml:space="preserve">Abbildung </w:t>
      </w:r>
      <w:r w:rsidR="00791554">
        <w:rPr>
          <w:noProof/>
        </w:rPr>
        <w:t>13</w:t>
      </w:r>
      <w:r>
        <w:fldChar w:fldCharType="end"/>
      </w:r>
      <w:r>
        <w:t xml:space="preserve">). Vereinzelt waren apoptotische Zellen sichtbar. </w:t>
      </w:r>
    </w:p>
    <w:p w14:paraId="18023809" w14:textId="77777777" w:rsidR="00C85902" w:rsidRDefault="00C85902" w:rsidP="00BE7215"/>
    <w:p w14:paraId="282C663F" w14:textId="77777777" w:rsidR="00C85902" w:rsidRDefault="00C85902" w:rsidP="00987924">
      <w:pPr>
        <w:keepNext/>
      </w:pPr>
      <w:r>
        <w:rPr>
          <w:noProof/>
        </w:rPr>
        <w:drawing>
          <wp:inline distT="0" distB="0" distL="0" distR="0" wp14:anchorId="5CECD337" wp14:editId="046FD6A7">
            <wp:extent cx="5299701" cy="47752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22">
                      <a:extLst>
                        <a:ext uri="{28A0092B-C50C-407E-A947-70E740481C1C}">
                          <a14:useLocalDpi xmlns:a14="http://schemas.microsoft.com/office/drawing/2010/main" val="0"/>
                        </a:ext>
                      </a:extLst>
                    </a:blip>
                    <a:srcRect t="25901" b="23415"/>
                    <a:stretch/>
                  </pic:blipFill>
                  <pic:spPr bwMode="auto">
                    <a:xfrm>
                      <a:off x="0" y="0"/>
                      <a:ext cx="5306628" cy="4781441"/>
                    </a:xfrm>
                    <a:prstGeom prst="rect">
                      <a:avLst/>
                    </a:prstGeom>
                    <a:ln>
                      <a:noFill/>
                    </a:ln>
                    <a:extLst>
                      <a:ext uri="{53640926-AAD7-44D8-BBD7-CCE9431645EC}">
                        <a14:shadowObscured xmlns:a14="http://schemas.microsoft.com/office/drawing/2010/main"/>
                      </a:ext>
                    </a:extLst>
                  </pic:spPr>
                </pic:pic>
              </a:graphicData>
            </a:graphic>
          </wp:inline>
        </w:drawing>
      </w:r>
    </w:p>
    <w:p w14:paraId="4A5B4279" w14:textId="00365AF3" w:rsidR="00C85902" w:rsidRPr="00521BF8" w:rsidRDefault="00C85902" w:rsidP="00987924">
      <w:pPr>
        <w:pStyle w:val="Beschriftung"/>
        <w:rPr>
          <w:vanish/>
          <w:specVanish/>
        </w:rPr>
      </w:pPr>
      <w:bookmarkStart w:id="157" w:name="_Ref103067872"/>
      <w:bookmarkStart w:id="158" w:name="_Toc120649890"/>
      <w:r>
        <w:t xml:space="preserve">Abbildung </w:t>
      </w:r>
      <w:r>
        <w:fldChar w:fldCharType="begin"/>
      </w:r>
      <w:r>
        <w:instrText xml:space="preserve"> SEQ Abbildung \* ARABIC </w:instrText>
      </w:r>
      <w:r>
        <w:fldChar w:fldCharType="separate"/>
      </w:r>
      <w:r w:rsidR="00791554">
        <w:rPr>
          <w:noProof/>
        </w:rPr>
        <w:t>13</w:t>
      </w:r>
      <w:r>
        <w:rPr>
          <w:noProof/>
        </w:rPr>
        <w:fldChar w:fldCharType="end"/>
      </w:r>
      <w:bookmarkEnd w:id="157"/>
      <w:r>
        <w:t xml:space="preserve"> HL20/32 mit und ohne Infektion mit Mykoplasmen an Tag 9, 14, 18 und 21 nach der Passage</w:t>
      </w:r>
      <w:bookmarkEnd w:id="158"/>
      <w:r>
        <w:t xml:space="preserve"> </w:t>
      </w:r>
    </w:p>
    <w:p w14:paraId="2A11EFA7" w14:textId="77777777" w:rsidR="00C85902" w:rsidRDefault="00C85902" w:rsidP="00987924">
      <w:pPr>
        <w:pStyle w:val="Beschriftung"/>
      </w:pPr>
      <w:r>
        <w:t xml:space="preserve"> </w:t>
      </w:r>
      <w:r>
        <w:br/>
        <w:t xml:space="preserve">In dieser Abbildung ist die Fotodokumentation der Morphologischen Unterschiede zwischen den mit Mykoplasmen infizierten und den nicht-infizierten HL20/32 Zellen dokumentiert. Die Dokumentation erfolgte am neunten Tag nach Passage, entsprechend dem ersten Tag nach der Infektion mit Mykoplasmen. Des Weiteren am zwölften, achtzehnten und 21. Tag nach Passage. Die Aufnahme erfolgte jeweils in 10- und 20-facher Vergrößerung. Die mit Mykoplasmen infizierten Zellen weisen ein deutlich weniger kohärentes und konfluentes Wachstum als die nicht-infizierten Zellen auf. </w:t>
      </w:r>
    </w:p>
    <w:p w14:paraId="0D23AF64" w14:textId="77777777" w:rsidR="00C85902" w:rsidRDefault="00C85902" w:rsidP="00BE7215">
      <w:pPr>
        <w:rPr>
          <w:rFonts w:cs="Arial"/>
        </w:rPr>
      </w:pPr>
      <w:r>
        <w:t>Am zwölften Tag nach der Passage hatten die nicht-infizierten an Größe zugenommen und waren im Schnitt zwischen 50-100</w:t>
      </w:r>
      <w:r w:rsidRPr="008C4356">
        <w:rPr>
          <w:w w:val="50"/>
        </w:rPr>
        <w:t> </w:t>
      </w:r>
      <w:r>
        <w:rPr>
          <w:rFonts w:cs="Arial"/>
        </w:rPr>
        <w:t>µm groß. Am achtzehnten Tag nach der Passage waren die Zellen konfluent und kohärent mit etwas vermehrt zwischengelagerten apoptotischen Zellen. Dieser Trend setzte sich bis zum 21. Tag nach Passage fort. Zu diesem Zeitpunkt waren die Zellen noch größer geworden und wiesen einen Durchmesser zwischen 50-150</w:t>
      </w:r>
      <w:r w:rsidRPr="008C4356">
        <w:rPr>
          <w:w w:val="50"/>
        </w:rPr>
        <w:t> </w:t>
      </w:r>
      <w:r>
        <w:rPr>
          <w:rFonts w:cs="Arial"/>
        </w:rPr>
        <w:t xml:space="preserve">µm auf. </w:t>
      </w:r>
    </w:p>
    <w:p w14:paraId="2D0C3B03" w14:textId="77777777" w:rsidR="00C85902" w:rsidRPr="00CB5F77" w:rsidRDefault="00C85902" w:rsidP="00BE7215">
      <w:pPr>
        <w:rPr>
          <w:rFonts w:cs="Arial"/>
        </w:rPr>
      </w:pPr>
      <w:r>
        <w:rPr>
          <w:rFonts w:cs="Arial"/>
        </w:rPr>
        <w:t xml:space="preserve">Im Vergleich dazu zeigten die mit Mykoplasmen infizierten Zellen bereits 12 Tage nach der Passage (und somit 4 Tage nach der Infektion) ein abweichendes Wachstumsmuster. Die Zellen wiesen dünne spindelförmige Ausläufer auf, die sich bin zum achtzehnten Tag nach der Passage wieder zurückbildeten, wobei die Zellen auch zu diesem Zeitpunkt deutlich weniger kohärent waren als die Vergleichskultur ohne Infektion. Am 21. Tag nach der Passage waren die mit Mykoplasmen infizierten Zellen deutlich atrophiert und deutlich weniger kohärent und konfluent. Des Weiteren ließen sich deutlich mehr apoptotische Zellen ausmachen als bei den nicht-infizierten Zellen. Formal konnte im Rahmen dieser Studie nicht zwischen Zelltod durch Apoptose oder durch Nekrose unterschieden werden. </w:t>
      </w:r>
    </w:p>
    <w:p w14:paraId="4940B7F5" w14:textId="77777777" w:rsidR="00C85902" w:rsidRDefault="00C85902" w:rsidP="00834B6D">
      <w:pPr>
        <w:pStyle w:val="berschrift2"/>
      </w:pPr>
      <w:bookmarkStart w:id="159" w:name="_Toc121158680"/>
      <w:r>
        <w:t>Expression von CD276 auf mRNA Ebene bei mit Mykoplasmen infizierten Zellen im Vergleich mit Mykoplasmen freien Zellen</w:t>
      </w:r>
      <w:bookmarkEnd w:id="159"/>
      <w:r>
        <w:t xml:space="preserve"> </w:t>
      </w:r>
    </w:p>
    <w:p w14:paraId="52DE11FC" w14:textId="77777777" w:rsidR="00C85902" w:rsidRDefault="00C85902" w:rsidP="00834B6D">
      <w:r>
        <w:t xml:space="preserve">Mittels qRT-PCR wurde bei den Zelllinien Cal29, T24 und HT1197 der Gehalt an CD276 mRNA und den Referenzgenen GAPDH und ß-Aktin analysiert und in ein Verhältnis gesetzt. Bei den Zelllinien HT1197, Cal29 und T24 gab es bereits eine Grundtestung zu Beginn der Arbeit. Dann wurden bei Cal29 und T24, für die Dauer von vier Wochen alle sieben Tage eine RNA-Isolation vorgenommen. Dies geschah sowohl mit den mit Mykoplasmen infizierten als auch mit den nicht-infizierten Zellen. Bei HT1197 erfolgte die Isolation der RNA alle zwei Wochen. </w:t>
      </w:r>
    </w:p>
    <w:p w14:paraId="2C64E48A" w14:textId="77777777" w:rsidR="00C85902" w:rsidRDefault="00C85902" w:rsidP="003462E4">
      <w:pPr>
        <w:pStyle w:val="berschrift3"/>
      </w:pPr>
      <w:bookmarkStart w:id="160" w:name="_Toc121158681"/>
      <w:r w:rsidRPr="003462E4">
        <w:t>CD276 mRNA Expression in Cal29 Zellen mi</w:t>
      </w:r>
      <w:r>
        <w:t>t und ohne Mykoplasmen Infektion</w:t>
      </w:r>
      <w:bookmarkEnd w:id="160"/>
      <w:r>
        <w:t xml:space="preserve"> </w:t>
      </w:r>
    </w:p>
    <w:p w14:paraId="35A03C81" w14:textId="77777777" w:rsidR="00C85902" w:rsidRDefault="00C85902" w:rsidP="000A30CD">
      <w:r>
        <w:t xml:space="preserve">Zunächst ist festzuhalten, dass bei der Zelllinie Cal29, wie auch bei T24, keine neue Infektion stattgefunden hat, sondern die Zellen bereits über einen längeren Zeitraum infiziert waren. </w:t>
      </w:r>
    </w:p>
    <w:p w14:paraId="5F3DE772" w14:textId="0A1335A2" w:rsidR="00C85902" w:rsidRPr="000A30CD" w:rsidRDefault="00C85902" w:rsidP="000A30CD">
      <w:r>
        <w:t>Beim Vergleich der Zelllinie Cal29 mit und ohne Mykoplasmen Infektion fiel optisch (</w:t>
      </w:r>
      <w:r>
        <w:fldChar w:fldCharType="begin"/>
      </w:r>
      <w:r>
        <w:instrText xml:space="preserve"> REF _Ref84254439 \h </w:instrText>
      </w:r>
      <w:r>
        <w:fldChar w:fldCharType="separate"/>
      </w:r>
      <w:r w:rsidR="00791554" w:rsidRPr="003462E4">
        <w:t xml:space="preserve">Abbildung </w:t>
      </w:r>
      <w:r w:rsidR="00791554">
        <w:rPr>
          <w:noProof/>
        </w:rPr>
        <w:t>14</w:t>
      </w:r>
      <w:r>
        <w:fldChar w:fldCharType="end"/>
      </w:r>
      <w:r>
        <w:t xml:space="preserve"> und </w:t>
      </w:r>
      <w:r>
        <w:fldChar w:fldCharType="begin"/>
      </w:r>
      <w:r>
        <w:instrText xml:space="preserve"> REF _Ref120301496 \h </w:instrText>
      </w:r>
      <w:r>
        <w:fldChar w:fldCharType="separate"/>
      </w:r>
      <w:r w:rsidR="00791554">
        <w:t xml:space="preserve">Tabelle </w:t>
      </w:r>
      <w:r w:rsidR="00791554">
        <w:rPr>
          <w:noProof/>
        </w:rPr>
        <w:t>25</w:t>
      </w:r>
      <w:r>
        <w:fldChar w:fldCharType="end"/>
      </w:r>
      <w:r>
        <w:t xml:space="preserve">) zunächst auf, dass die Zellen ohne Mykoplasmen Infektion eine deutlich größere Menge an CD276 mRNA aufwiesen als die infizierten Zellen. </w:t>
      </w:r>
    </w:p>
    <w:p w14:paraId="64E4DE4C" w14:textId="77777777" w:rsidR="00C85902" w:rsidRDefault="00C85902" w:rsidP="003F7D41">
      <w:pPr>
        <w:keepNext/>
      </w:pPr>
      <w:r>
        <w:rPr>
          <w:noProof/>
        </w:rPr>
        <w:drawing>
          <wp:inline distT="0" distB="0" distL="0" distR="0" wp14:anchorId="518A66D6" wp14:editId="4597F2FD">
            <wp:extent cx="5400040" cy="2574290"/>
            <wp:effectExtent l="0" t="0" r="0" b="0"/>
            <wp:docPr id="43" name="Diagramm 43">
              <a:extLst xmlns:a="http://schemas.openxmlformats.org/drawingml/2006/main">
                <a:ext uri="{FF2B5EF4-FFF2-40B4-BE49-F238E27FC236}">
                  <a16:creationId xmlns:a16="http://schemas.microsoft.com/office/drawing/2014/main" id="{9868269F-4EA0-4168-A07B-F58A45BB71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30FA4D" w14:textId="3D42FB18" w:rsidR="00C85902" w:rsidRPr="00521BF8" w:rsidRDefault="00C85902" w:rsidP="003F7D41">
      <w:pPr>
        <w:pStyle w:val="Beschriftung"/>
        <w:rPr>
          <w:noProof/>
          <w:vanish/>
          <w:specVanish/>
        </w:rPr>
      </w:pPr>
      <w:bookmarkStart w:id="161" w:name="_Ref84254439"/>
      <w:bookmarkStart w:id="162" w:name="_Toc120649891"/>
      <w:r w:rsidRPr="003462E4">
        <w:t xml:space="preserve">Abbildung </w:t>
      </w:r>
      <w:r>
        <w:fldChar w:fldCharType="begin"/>
      </w:r>
      <w:r w:rsidRPr="003462E4">
        <w:instrText xml:space="preserve"> SEQ Abbildung \* ARABIC </w:instrText>
      </w:r>
      <w:r>
        <w:fldChar w:fldCharType="separate"/>
      </w:r>
      <w:r w:rsidR="00791554">
        <w:rPr>
          <w:noProof/>
        </w:rPr>
        <w:t>14</w:t>
      </w:r>
      <w:r>
        <w:fldChar w:fldCharType="end"/>
      </w:r>
      <w:bookmarkEnd w:id="161"/>
      <w:r w:rsidRPr="003462E4">
        <w:t xml:space="preserve"> CD276 mRNA</w:t>
      </w:r>
      <w:r w:rsidRPr="003462E4">
        <w:rPr>
          <w:noProof/>
        </w:rPr>
        <w:t xml:space="preserve"> Expression in Cal29 Zelle</w:t>
      </w:r>
      <w:r>
        <w:rPr>
          <w:noProof/>
        </w:rPr>
        <w:t>n</w:t>
      </w:r>
      <w:bookmarkEnd w:id="162"/>
      <w:r>
        <w:rPr>
          <w:noProof/>
        </w:rPr>
        <w:t xml:space="preserve"> </w:t>
      </w:r>
    </w:p>
    <w:p w14:paraId="60FF3D01" w14:textId="77777777" w:rsidR="00C85902" w:rsidRPr="003462E4" w:rsidRDefault="00C85902" w:rsidP="003F7D41">
      <w:pPr>
        <w:pStyle w:val="Beschriftung"/>
      </w:pPr>
      <w:r>
        <w:rPr>
          <w:noProof/>
        </w:rPr>
        <w:t xml:space="preserve"> </w:t>
      </w:r>
      <w:r>
        <w:rPr>
          <w:noProof/>
        </w:rPr>
        <w:br/>
        <w:t xml:space="preserve">In dieser Abbildung Ist die Menge der CD276 mRNA Expression von Cal29  (welche zuvor für die qRT-PCR in cDNA umgeschrieben wurde) mit und ohne Mykoplasmeninfektion nach der ersten, zweiten, dritten und vierten Woche Zellkultur graphisch dargestellt. Es zeigt sich ein eine höhere CD276 mRNA Expression bei den mit Mykoplasmen infizierten Cal29 Zellen. </w:t>
      </w:r>
    </w:p>
    <w:p w14:paraId="3AD431D2" w14:textId="1287A327" w:rsidR="00C85902" w:rsidRPr="00A32E91" w:rsidRDefault="00C85902" w:rsidP="00C531DF">
      <w:pPr>
        <w:pStyle w:val="Beschriftung"/>
        <w:keepNext/>
        <w:rPr>
          <w:vanish/>
          <w:specVanish/>
        </w:rPr>
      </w:pPr>
      <w:bookmarkStart w:id="163" w:name="_Ref120301496"/>
      <w:bookmarkStart w:id="164" w:name="_Toc120649867"/>
      <w:r>
        <w:t xml:space="preserve">Tabelle </w:t>
      </w:r>
      <w:r>
        <w:fldChar w:fldCharType="begin"/>
      </w:r>
      <w:r>
        <w:instrText xml:space="preserve"> SEQ Tabelle \* ARABIC </w:instrText>
      </w:r>
      <w:r>
        <w:fldChar w:fldCharType="separate"/>
      </w:r>
      <w:r w:rsidR="00791554">
        <w:rPr>
          <w:noProof/>
        </w:rPr>
        <w:t>25</w:t>
      </w:r>
      <w:r>
        <w:rPr>
          <w:noProof/>
        </w:rPr>
        <w:fldChar w:fldCharType="end"/>
      </w:r>
      <w:bookmarkEnd w:id="163"/>
      <w:r>
        <w:t xml:space="preserve"> </w:t>
      </w:r>
      <w:r w:rsidRPr="00D14ADC">
        <w:t>Werte der CD276 mRNA Expression in Cal29</w:t>
      </w:r>
      <w:bookmarkEnd w:id="164"/>
      <w:r w:rsidRPr="00D14ADC">
        <w:t xml:space="preserve"> </w:t>
      </w:r>
    </w:p>
    <w:p w14:paraId="798812B0" w14:textId="77777777" w:rsidR="00C85902" w:rsidRDefault="00C85902" w:rsidP="00C531DF">
      <w:pPr>
        <w:pStyle w:val="Beschriftung"/>
        <w:keepNext/>
      </w:pPr>
      <w:r>
        <w:t xml:space="preserve"> </w:t>
      </w:r>
      <w:r>
        <w:br/>
      </w:r>
      <w:r w:rsidRPr="00A32E91">
        <w:t>Menge der CD276 mRNA Expression in Cal29 mit und ohne Mykoplasmen Infektion zu verschiedenen Zeitpunkten. Es zeigt sich eine geringere Expression den nicht-infizierten Zellen.</w:t>
      </w:r>
    </w:p>
    <w:tbl>
      <w:tblPr>
        <w:tblW w:w="8376" w:type="dxa"/>
        <w:tblCellMar>
          <w:left w:w="70" w:type="dxa"/>
          <w:right w:w="70" w:type="dxa"/>
        </w:tblCellMar>
        <w:tblLook w:val="04A0" w:firstRow="1" w:lastRow="0" w:firstColumn="1" w:lastColumn="0" w:noHBand="0" w:noVBand="1"/>
      </w:tblPr>
      <w:tblGrid>
        <w:gridCol w:w="4931"/>
        <w:gridCol w:w="3445"/>
      </w:tblGrid>
      <w:tr w:rsidR="00C85902" w:rsidRPr="00600BBD" w14:paraId="1EDE9DAA" w14:textId="77777777" w:rsidTr="00A32E91">
        <w:trPr>
          <w:trHeight w:val="227"/>
        </w:trPr>
        <w:tc>
          <w:tcPr>
            <w:tcW w:w="493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441DC20" w14:textId="77777777" w:rsidR="00C85902" w:rsidRPr="007C2AC0" w:rsidRDefault="00C85902" w:rsidP="00675CB0">
            <w:pPr>
              <w:spacing w:after="0" w:line="240" w:lineRule="auto"/>
              <w:jc w:val="center"/>
              <w:rPr>
                <w:rFonts w:eastAsia="Times New Roman" w:cs="Arial"/>
                <w:b/>
                <w:bCs/>
                <w:color w:val="000000"/>
                <w:sz w:val="19"/>
                <w:szCs w:val="19"/>
                <w:lang w:eastAsia="de-DE"/>
              </w:rPr>
            </w:pPr>
            <w:r w:rsidRPr="007C2AC0">
              <w:rPr>
                <w:rFonts w:eastAsia="Times New Roman" w:cs="Arial"/>
                <w:b/>
                <w:bCs/>
                <w:color w:val="000000"/>
                <w:sz w:val="19"/>
                <w:szCs w:val="19"/>
                <w:lang w:eastAsia="de-DE"/>
              </w:rPr>
              <w:t>Zeitpunkt der Testung</w:t>
            </w:r>
          </w:p>
        </w:tc>
        <w:tc>
          <w:tcPr>
            <w:tcW w:w="3445" w:type="dxa"/>
            <w:tcBorders>
              <w:top w:val="single" w:sz="4" w:space="0" w:color="auto"/>
              <w:left w:val="nil"/>
              <w:bottom w:val="single" w:sz="4" w:space="0" w:color="auto"/>
              <w:right w:val="single" w:sz="4" w:space="0" w:color="auto"/>
            </w:tcBorders>
            <w:shd w:val="clear" w:color="000000" w:fill="E7E6E6"/>
            <w:noWrap/>
            <w:vAlign w:val="bottom"/>
            <w:hideMark/>
          </w:tcPr>
          <w:p w14:paraId="1DA6B0F0" w14:textId="77777777" w:rsidR="00C85902" w:rsidRPr="007C2AC0" w:rsidRDefault="00C85902" w:rsidP="00675CB0">
            <w:pPr>
              <w:spacing w:after="0" w:line="240" w:lineRule="auto"/>
              <w:jc w:val="center"/>
              <w:rPr>
                <w:rFonts w:eastAsia="Times New Roman" w:cs="Arial"/>
                <w:b/>
                <w:bCs/>
                <w:color w:val="000000"/>
                <w:sz w:val="19"/>
                <w:szCs w:val="19"/>
                <w:lang w:val="en-GB" w:eastAsia="de-DE"/>
              </w:rPr>
            </w:pPr>
            <w:r w:rsidRPr="007C2AC0">
              <w:rPr>
                <w:rFonts w:eastAsia="Times New Roman" w:cs="Arial"/>
                <w:b/>
                <w:bCs/>
                <w:color w:val="000000"/>
                <w:sz w:val="19"/>
                <w:szCs w:val="19"/>
                <w:lang w:val="en-GB" w:eastAsia="de-DE"/>
              </w:rPr>
              <w:t>CD276 mRNA Expression in Cal29</w:t>
            </w:r>
          </w:p>
        </w:tc>
      </w:tr>
      <w:tr w:rsidR="00C85902" w:rsidRPr="00CB3D61" w14:paraId="4F659908"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D9D9D9"/>
            <w:noWrap/>
            <w:vAlign w:val="bottom"/>
            <w:hideMark/>
          </w:tcPr>
          <w:p w14:paraId="5D533841"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Cal29 ohne Mykoplasmen Infektion Grundtestung</w:t>
            </w:r>
          </w:p>
        </w:tc>
        <w:tc>
          <w:tcPr>
            <w:tcW w:w="3445" w:type="dxa"/>
            <w:tcBorders>
              <w:top w:val="nil"/>
              <w:left w:val="nil"/>
              <w:bottom w:val="single" w:sz="4" w:space="0" w:color="auto"/>
              <w:right w:val="single" w:sz="4" w:space="0" w:color="auto"/>
            </w:tcBorders>
            <w:shd w:val="clear" w:color="000000" w:fill="D9D9D9"/>
            <w:noWrap/>
            <w:vAlign w:val="bottom"/>
            <w:hideMark/>
          </w:tcPr>
          <w:p w14:paraId="5CA209FA"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0,0507</w:t>
            </w:r>
          </w:p>
        </w:tc>
      </w:tr>
      <w:tr w:rsidR="00C85902" w:rsidRPr="00CB3D61" w14:paraId="1ACA4907"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E7E6E6"/>
            <w:noWrap/>
            <w:vAlign w:val="bottom"/>
            <w:hideMark/>
          </w:tcPr>
          <w:p w14:paraId="07ACA040"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 xml:space="preserve">Cal29 ohne Mykoplasmen Infektion 1. Woche </w:t>
            </w:r>
          </w:p>
        </w:tc>
        <w:tc>
          <w:tcPr>
            <w:tcW w:w="3445" w:type="dxa"/>
            <w:tcBorders>
              <w:top w:val="nil"/>
              <w:left w:val="nil"/>
              <w:bottom w:val="single" w:sz="4" w:space="0" w:color="auto"/>
              <w:right w:val="single" w:sz="4" w:space="0" w:color="auto"/>
            </w:tcBorders>
            <w:shd w:val="clear" w:color="000000" w:fill="E7E6E6"/>
            <w:noWrap/>
            <w:vAlign w:val="bottom"/>
            <w:hideMark/>
          </w:tcPr>
          <w:p w14:paraId="048C70A6"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0,0465</w:t>
            </w:r>
          </w:p>
        </w:tc>
      </w:tr>
      <w:tr w:rsidR="00C85902" w:rsidRPr="00CB3D61" w14:paraId="05CABCB4"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D9D9D9"/>
            <w:noWrap/>
            <w:vAlign w:val="bottom"/>
            <w:hideMark/>
          </w:tcPr>
          <w:p w14:paraId="5D605846"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Cal29 ohne Mykoplasmen Infektion 2. Woche</w:t>
            </w:r>
          </w:p>
        </w:tc>
        <w:tc>
          <w:tcPr>
            <w:tcW w:w="3445" w:type="dxa"/>
            <w:tcBorders>
              <w:top w:val="nil"/>
              <w:left w:val="nil"/>
              <w:bottom w:val="single" w:sz="4" w:space="0" w:color="auto"/>
              <w:right w:val="single" w:sz="4" w:space="0" w:color="auto"/>
            </w:tcBorders>
            <w:shd w:val="clear" w:color="000000" w:fill="D9D9D9"/>
            <w:noWrap/>
            <w:vAlign w:val="bottom"/>
            <w:hideMark/>
          </w:tcPr>
          <w:p w14:paraId="54276140"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0,0509</w:t>
            </w:r>
          </w:p>
        </w:tc>
      </w:tr>
      <w:tr w:rsidR="00C85902" w:rsidRPr="00CB3D61" w14:paraId="5F3AB196"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E7E6E6"/>
            <w:noWrap/>
            <w:vAlign w:val="bottom"/>
            <w:hideMark/>
          </w:tcPr>
          <w:p w14:paraId="4DB600CF"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Cal29 ohne Mykoplasmen Infektion 3. Woche</w:t>
            </w:r>
          </w:p>
        </w:tc>
        <w:tc>
          <w:tcPr>
            <w:tcW w:w="3445" w:type="dxa"/>
            <w:tcBorders>
              <w:top w:val="nil"/>
              <w:left w:val="nil"/>
              <w:bottom w:val="single" w:sz="4" w:space="0" w:color="auto"/>
              <w:right w:val="single" w:sz="4" w:space="0" w:color="auto"/>
            </w:tcBorders>
            <w:shd w:val="clear" w:color="000000" w:fill="E7E6E6"/>
            <w:noWrap/>
            <w:vAlign w:val="bottom"/>
            <w:hideMark/>
          </w:tcPr>
          <w:p w14:paraId="5A49E09C"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0,0385</w:t>
            </w:r>
          </w:p>
        </w:tc>
      </w:tr>
      <w:tr w:rsidR="00C85902" w:rsidRPr="00CB3D61" w14:paraId="70D2169C"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D9D9D9"/>
            <w:noWrap/>
            <w:vAlign w:val="bottom"/>
            <w:hideMark/>
          </w:tcPr>
          <w:p w14:paraId="69BBBD6D"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Cal29 ohne Mykoplasmen Infektion 4. Woche</w:t>
            </w:r>
          </w:p>
        </w:tc>
        <w:tc>
          <w:tcPr>
            <w:tcW w:w="3445" w:type="dxa"/>
            <w:tcBorders>
              <w:top w:val="nil"/>
              <w:left w:val="nil"/>
              <w:bottom w:val="single" w:sz="4" w:space="0" w:color="auto"/>
              <w:right w:val="single" w:sz="4" w:space="0" w:color="auto"/>
            </w:tcBorders>
            <w:shd w:val="clear" w:color="000000" w:fill="D9D9D9"/>
            <w:noWrap/>
            <w:vAlign w:val="bottom"/>
            <w:hideMark/>
          </w:tcPr>
          <w:p w14:paraId="625EFB0D"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0,0416</w:t>
            </w:r>
          </w:p>
        </w:tc>
      </w:tr>
      <w:tr w:rsidR="00C85902" w:rsidRPr="00CB3D61" w14:paraId="551F9E7B"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E7E6E6"/>
            <w:noWrap/>
            <w:vAlign w:val="bottom"/>
            <w:hideMark/>
          </w:tcPr>
          <w:p w14:paraId="46BA464C"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 xml:space="preserve">Cal29 </w:t>
            </w:r>
            <w:r w:rsidRPr="007C2AC0">
              <w:rPr>
                <w:rFonts w:eastAsia="Times New Roman" w:cs="Arial"/>
                <w:b/>
                <w:bCs/>
                <w:sz w:val="19"/>
                <w:szCs w:val="19"/>
                <w:lang w:eastAsia="de-DE"/>
              </w:rPr>
              <w:t>mit</w:t>
            </w:r>
            <w:r w:rsidRPr="007C2AC0">
              <w:rPr>
                <w:rFonts w:eastAsia="Times New Roman" w:cs="Arial"/>
                <w:sz w:val="19"/>
                <w:szCs w:val="19"/>
                <w:lang w:eastAsia="de-DE"/>
              </w:rPr>
              <w:t xml:space="preserve"> Mykoplasmen Infektion Grundtestung</w:t>
            </w:r>
          </w:p>
        </w:tc>
        <w:tc>
          <w:tcPr>
            <w:tcW w:w="3445" w:type="dxa"/>
            <w:tcBorders>
              <w:top w:val="nil"/>
              <w:left w:val="nil"/>
              <w:bottom w:val="single" w:sz="4" w:space="0" w:color="auto"/>
              <w:right w:val="single" w:sz="4" w:space="0" w:color="auto"/>
            </w:tcBorders>
            <w:shd w:val="clear" w:color="000000" w:fill="E7E6E6"/>
            <w:noWrap/>
            <w:vAlign w:val="bottom"/>
            <w:hideMark/>
          </w:tcPr>
          <w:p w14:paraId="7327B38A"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0,0329</w:t>
            </w:r>
          </w:p>
        </w:tc>
      </w:tr>
      <w:tr w:rsidR="00C85902" w:rsidRPr="00CB3D61" w14:paraId="31FA3C38"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D9D9D9"/>
            <w:noWrap/>
            <w:vAlign w:val="bottom"/>
            <w:hideMark/>
          </w:tcPr>
          <w:p w14:paraId="390FBD82"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 xml:space="preserve">Cal29 </w:t>
            </w:r>
            <w:r w:rsidRPr="007C2AC0">
              <w:rPr>
                <w:rFonts w:eastAsia="Times New Roman" w:cs="Arial"/>
                <w:b/>
                <w:bCs/>
                <w:sz w:val="19"/>
                <w:szCs w:val="19"/>
                <w:lang w:eastAsia="de-DE"/>
              </w:rPr>
              <w:t>mit</w:t>
            </w:r>
            <w:r w:rsidRPr="007C2AC0">
              <w:rPr>
                <w:rFonts w:eastAsia="Times New Roman" w:cs="Arial"/>
                <w:sz w:val="19"/>
                <w:szCs w:val="19"/>
                <w:lang w:eastAsia="de-DE"/>
              </w:rPr>
              <w:t xml:space="preserve"> Mykoplasmen Infektion 1.Woche</w:t>
            </w:r>
          </w:p>
        </w:tc>
        <w:tc>
          <w:tcPr>
            <w:tcW w:w="3445" w:type="dxa"/>
            <w:tcBorders>
              <w:top w:val="nil"/>
              <w:left w:val="nil"/>
              <w:bottom w:val="single" w:sz="4" w:space="0" w:color="auto"/>
              <w:right w:val="single" w:sz="4" w:space="0" w:color="auto"/>
            </w:tcBorders>
            <w:shd w:val="clear" w:color="000000" w:fill="D9D9D9"/>
            <w:noWrap/>
            <w:vAlign w:val="bottom"/>
            <w:hideMark/>
          </w:tcPr>
          <w:p w14:paraId="2BE6027D"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0,0249</w:t>
            </w:r>
          </w:p>
        </w:tc>
      </w:tr>
      <w:tr w:rsidR="00C85902" w:rsidRPr="00CB3D61" w14:paraId="6A033458"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E7E6E6"/>
            <w:noWrap/>
            <w:vAlign w:val="bottom"/>
            <w:hideMark/>
          </w:tcPr>
          <w:p w14:paraId="67E4FCC5"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Cal29</w:t>
            </w:r>
            <w:r w:rsidRPr="007C2AC0">
              <w:rPr>
                <w:rFonts w:eastAsia="Times New Roman" w:cs="Arial"/>
                <w:b/>
                <w:bCs/>
                <w:sz w:val="19"/>
                <w:szCs w:val="19"/>
                <w:lang w:eastAsia="de-DE"/>
              </w:rPr>
              <w:t xml:space="preserve"> mit</w:t>
            </w:r>
            <w:r w:rsidRPr="007C2AC0">
              <w:rPr>
                <w:rFonts w:eastAsia="Times New Roman" w:cs="Arial"/>
                <w:sz w:val="19"/>
                <w:szCs w:val="19"/>
                <w:lang w:eastAsia="de-DE"/>
              </w:rPr>
              <w:t xml:space="preserve"> Mykoplasmen Infektion 2. Woche</w:t>
            </w:r>
          </w:p>
        </w:tc>
        <w:tc>
          <w:tcPr>
            <w:tcW w:w="3445" w:type="dxa"/>
            <w:tcBorders>
              <w:top w:val="nil"/>
              <w:left w:val="nil"/>
              <w:bottom w:val="single" w:sz="4" w:space="0" w:color="auto"/>
              <w:right w:val="single" w:sz="4" w:space="0" w:color="auto"/>
            </w:tcBorders>
            <w:shd w:val="clear" w:color="000000" w:fill="E7E6E6"/>
            <w:noWrap/>
            <w:vAlign w:val="bottom"/>
            <w:hideMark/>
          </w:tcPr>
          <w:p w14:paraId="56C1F5E5"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0,0281</w:t>
            </w:r>
          </w:p>
        </w:tc>
      </w:tr>
      <w:tr w:rsidR="00C85902" w:rsidRPr="00CB3D61" w14:paraId="7B521E43"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D9D9D9"/>
            <w:noWrap/>
            <w:vAlign w:val="bottom"/>
            <w:hideMark/>
          </w:tcPr>
          <w:p w14:paraId="17FC123A"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 xml:space="preserve">Cal29 </w:t>
            </w:r>
            <w:r w:rsidRPr="007C2AC0">
              <w:rPr>
                <w:rFonts w:eastAsia="Times New Roman" w:cs="Arial"/>
                <w:b/>
                <w:bCs/>
                <w:sz w:val="19"/>
                <w:szCs w:val="19"/>
                <w:lang w:eastAsia="de-DE"/>
              </w:rPr>
              <w:t xml:space="preserve">mit </w:t>
            </w:r>
            <w:r w:rsidRPr="007C2AC0">
              <w:rPr>
                <w:rFonts w:eastAsia="Times New Roman" w:cs="Arial"/>
                <w:sz w:val="19"/>
                <w:szCs w:val="19"/>
                <w:lang w:eastAsia="de-DE"/>
              </w:rPr>
              <w:t>Mykoplasmen Infektion 3. Woche</w:t>
            </w:r>
          </w:p>
        </w:tc>
        <w:tc>
          <w:tcPr>
            <w:tcW w:w="3445" w:type="dxa"/>
            <w:tcBorders>
              <w:top w:val="nil"/>
              <w:left w:val="nil"/>
              <w:bottom w:val="single" w:sz="4" w:space="0" w:color="auto"/>
              <w:right w:val="single" w:sz="4" w:space="0" w:color="auto"/>
            </w:tcBorders>
            <w:shd w:val="clear" w:color="000000" w:fill="D9D9D9"/>
            <w:noWrap/>
            <w:vAlign w:val="bottom"/>
            <w:hideMark/>
          </w:tcPr>
          <w:p w14:paraId="3C53F105" w14:textId="77777777" w:rsidR="00C85902" w:rsidRPr="007C2AC0" w:rsidRDefault="00C85902" w:rsidP="007C2AC0">
            <w:pPr>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0,0289</w:t>
            </w:r>
          </w:p>
        </w:tc>
      </w:tr>
      <w:tr w:rsidR="00C85902" w:rsidRPr="00CB3D61" w14:paraId="3815E5EA" w14:textId="77777777" w:rsidTr="00A32E91">
        <w:trPr>
          <w:trHeight w:val="227"/>
        </w:trPr>
        <w:tc>
          <w:tcPr>
            <w:tcW w:w="4931" w:type="dxa"/>
            <w:tcBorders>
              <w:top w:val="nil"/>
              <w:left w:val="single" w:sz="4" w:space="0" w:color="auto"/>
              <w:bottom w:val="single" w:sz="4" w:space="0" w:color="auto"/>
              <w:right w:val="single" w:sz="4" w:space="0" w:color="auto"/>
            </w:tcBorders>
            <w:shd w:val="clear" w:color="000000" w:fill="E7E6E6"/>
            <w:noWrap/>
            <w:vAlign w:val="bottom"/>
            <w:hideMark/>
          </w:tcPr>
          <w:p w14:paraId="185FDB31" w14:textId="77777777" w:rsidR="00C85902" w:rsidRPr="007C2AC0" w:rsidRDefault="00C85902" w:rsidP="007C2AC0">
            <w:pPr>
              <w:spacing w:after="0" w:line="240" w:lineRule="auto"/>
              <w:rPr>
                <w:rFonts w:eastAsia="Times New Roman" w:cs="Arial"/>
                <w:sz w:val="19"/>
                <w:szCs w:val="19"/>
                <w:lang w:eastAsia="de-DE"/>
              </w:rPr>
            </w:pPr>
            <w:r w:rsidRPr="007C2AC0">
              <w:rPr>
                <w:rFonts w:eastAsia="Times New Roman" w:cs="Arial"/>
                <w:sz w:val="19"/>
                <w:szCs w:val="19"/>
                <w:lang w:eastAsia="de-DE"/>
              </w:rPr>
              <w:t xml:space="preserve">Cal29 </w:t>
            </w:r>
            <w:r w:rsidRPr="007C2AC0">
              <w:rPr>
                <w:rFonts w:eastAsia="Times New Roman" w:cs="Arial"/>
                <w:b/>
                <w:bCs/>
                <w:sz w:val="19"/>
                <w:szCs w:val="19"/>
                <w:lang w:eastAsia="de-DE"/>
              </w:rPr>
              <w:t>mit</w:t>
            </w:r>
            <w:r w:rsidRPr="007C2AC0">
              <w:rPr>
                <w:rFonts w:eastAsia="Times New Roman" w:cs="Arial"/>
                <w:sz w:val="19"/>
                <w:szCs w:val="19"/>
                <w:lang w:eastAsia="de-DE"/>
              </w:rPr>
              <w:t xml:space="preserve"> Mykoplasmen Infektion 4. woche</w:t>
            </w:r>
          </w:p>
        </w:tc>
        <w:tc>
          <w:tcPr>
            <w:tcW w:w="3445" w:type="dxa"/>
            <w:tcBorders>
              <w:top w:val="nil"/>
              <w:left w:val="nil"/>
              <w:bottom w:val="single" w:sz="4" w:space="0" w:color="auto"/>
              <w:right w:val="single" w:sz="4" w:space="0" w:color="auto"/>
            </w:tcBorders>
            <w:shd w:val="clear" w:color="000000" w:fill="E7E6E6"/>
            <w:noWrap/>
            <w:vAlign w:val="bottom"/>
            <w:hideMark/>
          </w:tcPr>
          <w:p w14:paraId="30689B2D" w14:textId="77777777" w:rsidR="00C85902" w:rsidRPr="007C2AC0" w:rsidRDefault="00C85902" w:rsidP="007C2AC0">
            <w:pPr>
              <w:keepNext/>
              <w:spacing w:after="0" w:line="240" w:lineRule="auto"/>
              <w:jc w:val="right"/>
              <w:rPr>
                <w:rFonts w:eastAsia="Times New Roman" w:cs="Arial"/>
                <w:color w:val="000000"/>
                <w:sz w:val="19"/>
                <w:szCs w:val="19"/>
                <w:lang w:eastAsia="de-DE"/>
              </w:rPr>
            </w:pPr>
            <w:r w:rsidRPr="007C2AC0">
              <w:rPr>
                <w:rFonts w:eastAsia="Times New Roman" w:cs="Arial"/>
                <w:color w:val="000000"/>
                <w:sz w:val="19"/>
                <w:szCs w:val="19"/>
                <w:lang w:eastAsia="de-DE"/>
              </w:rPr>
              <w:t>0,0276</w:t>
            </w:r>
          </w:p>
        </w:tc>
      </w:tr>
    </w:tbl>
    <w:p w14:paraId="3B22104F" w14:textId="77777777" w:rsidR="00C85902" w:rsidRDefault="00C85902" w:rsidP="005F345B"/>
    <w:p w14:paraId="24D8796C" w14:textId="277A65F5" w:rsidR="00C85902" w:rsidRPr="005F345B" w:rsidRDefault="00C85902" w:rsidP="005F345B">
      <w:r>
        <w:t xml:space="preserve">Wie bereits bei Cal29 erwähnt, fand auch bei der Zelllinie T24 keine frische Infektion statt. Die mit Mykoplasmen infizierten Zellen waren bereits über einen längeren Zeitraum infiziert und wurden im Folgenden mit den nicht-infizierten T24 Zellen im Bezug auf ihr Gehalt an CD276 mRNA analysiert. Es war auffallend, dass bei der Zelllinie T24 die nicht-infizierten Zellen durchschnittlich eine deutlich geringere Menge an CD276 mRNA aufwiesen als die mit Mykoplasmen infizierten Zellen (siehe </w:t>
      </w:r>
      <w:r>
        <w:fldChar w:fldCharType="begin"/>
      </w:r>
      <w:r>
        <w:instrText xml:space="preserve"> REF _Ref84256505 \h </w:instrText>
      </w:r>
      <w:r>
        <w:fldChar w:fldCharType="separate"/>
      </w:r>
      <w:r w:rsidR="00791554">
        <w:t xml:space="preserve">Abbildung </w:t>
      </w:r>
      <w:r w:rsidR="00791554">
        <w:rPr>
          <w:noProof/>
        </w:rPr>
        <w:t>15</w:t>
      </w:r>
      <w:r>
        <w:fldChar w:fldCharType="end"/>
      </w:r>
      <w:r>
        <w:t xml:space="preserve"> und </w:t>
      </w:r>
      <w:r>
        <w:fldChar w:fldCharType="begin"/>
      </w:r>
      <w:r>
        <w:instrText xml:space="preserve"> REF _Ref120301444 \h </w:instrText>
      </w:r>
      <w:r>
        <w:fldChar w:fldCharType="separate"/>
      </w:r>
      <w:r w:rsidR="00791554">
        <w:t xml:space="preserve">Tabelle </w:t>
      </w:r>
      <w:r w:rsidR="00791554">
        <w:rPr>
          <w:noProof/>
        </w:rPr>
        <w:t>26</w:t>
      </w:r>
      <w:r>
        <w:fldChar w:fldCharType="end"/>
      </w:r>
      <w:r>
        <w:t xml:space="preserve">). Dieses Verhalten war genau umgekehrt zu dem der Zelllinie Cal29, bei der die mit Mykoplasmen infizierten Zellen eine geringere Menge an CD276 aufwiesen als die nicht-infizierten. </w:t>
      </w:r>
    </w:p>
    <w:p w14:paraId="1FB6EC18" w14:textId="77777777" w:rsidR="00C85902" w:rsidRDefault="00C85902" w:rsidP="003F7D41">
      <w:pPr>
        <w:keepNext/>
      </w:pPr>
      <w:r>
        <w:rPr>
          <w:noProof/>
        </w:rPr>
        <w:drawing>
          <wp:inline distT="0" distB="0" distL="0" distR="0" wp14:anchorId="7151A62E" wp14:editId="64611D7B">
            <wp:extent cx="5400040" cy="2618105"/>
            <wp:effectExtent l="0" t="0" r="0" b="0"/>
            <wp:docPr id="44" name="Diagramm 44">
              <a:extLst xmlns:a="http://schemas.openxmlformats.org/drawingml/2006/main">
                <a:ext uri="{FF2B5EF4-FFF2-40B4-BE49-F238E27FC236}">
                  <a16:creationId xmlns:a16="http://schemas.microsoft.com/office/drawing/2014/main" id="{E703729D-E400-40F4-BE51-56437AC71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8C0F9D" w14:textId="7CE59D72" w:rsidR="00C85902" w:rsidRPr="00675CB0" w:rsidRDefault="00C85902" w:rsidP="003F7D41">
      <w:pPr>
        <w:pStyle w:val="Beschriftung"/>
        <w:rPr>
          <w:vanish/>
          <w:specVanish/>
        </w:rPr>
      </w:pPr>
      <w:bookmarkStart w:id="165" w:name="_Ref84256505"/>
      <w:bookmarkStart w:id="166" w:name="_Toc120649892"/>
      <w:r>
        <w:t xml:space="preserve">Abbildung </w:t>
      </w:r>
      <w:r>
        <w:fldChar w:fldCharType="begin"/>
      </w:r>
      <w:r>
        <w:instrText xml:space="preserve"> SEQ Abbildung \* ARABIC </w:instrText>
      </w:r>
      <w:r>
        <w:fldChar w:fldCharType="separate"/>
      </w:r>
      <w:r w:rsidR="00791554">
        <w:rPr>
          <w:noProof/>
        </w:rPr>
        <w:t>15</w:t>
      </w:r>
      <w:r>
        <w:rPr>
          <w:noProof/>
        </w:rPr>
        <w:fldChar w:fldCharType="end"/>
      </w:r>
      <w:bookmarkEnd w:id="165"/>
      <w:r>
        <w:t xml:space="preserve"> </w:t>
      </w:r>
      <w:r w:rsidRPr="004F0FD7">
        <w:t xml:space="preserve">CD276 mRNA Expression </w:t>
      </w:r>
      <w:r>
        <w:t>in</w:t>
      </w:r>
      <w:r w:rsidRPr="004F0FD7">
        <w:t xml:space="preserve"> </w:t>
      </w:r>
      <w:r>
        <w:t>T24 Zellen</w:t>
      </w:r>
      <w:bookmarkEnd w:id="166"/>
    </w:p>
    <w:p w14:paraId="633FCB08" w14:textId="77777777" w:rsidR="00C85902" w:rsidRDefault="00C85902" w:rsidP="003F7D41">
      <w:pPr>
        <w:pStyle w:val="Beschriftung"/>
      </w:pPr>
      <w:r>
        <w:br/>
        <w:t>Übersicht der Unterschiede in der CD276 mRNA Expression bei mit Mykoplasmen infizierten und nicht-infizierten T24 Zellen zu verschiedenen Zeitpunkten.</w:t>
      </w:r>
    </w:p>
    <w:p w14:paraId="215CD94F" w14:textId="0ED53EC3" w:rsidR="00C85902" w:rsidRPr="00675CB0" w:rsidRDefault="00C85902" w:rsidP="00C531DF">
      <w:pPr>
        <w:pStyle w:val="Beschriftung"/>
        <w:keepNext/>
        <w:rPr>
          <w:vanish/>
          <w:specVanish/>
        </w:rPr>
      </w:pPr>
      <w:bookmarkStart w:id="167" w:name="_Ref120301444"/>
      <w:bookmarkStart w:id="168" w:name="_Toc120649868"/>
      <w:r>
        <w:t xml:space="preserve">Tabelle </w:t>
      </w:r>
      <w:r>
        <w:fldChar w:fldCharType="begin"/>
      </w:r>
      <w:r>
        <w:instrText xml:space="preserve"> SEQ Tabelle \* ARABIC </w:instrText>
      </w:r>
      <w:r>
        <w:fldChar w:fldCharType="separate"/>
      </w:r>
      <w:r w:rsidR="00791554">
        <w:rPr>
          <w:noProof/>
        </w:rPr>
        <w:t>26</w:t>
      </w:r>
      <w:r>
        <w:rPr>
          <w:noProof/>
        </w:rPr>
        <w:fldChar w:fldCharType="end"/>
      </w:r>
      <w:bookmarkEnd w:id="167"/>
      <w:r>
        <w:t xml:space="preserve"> </w:t>
      </w:r>
      <w:r w:rsidRPr="00F57EFE">
        <w:t>Werte der CD276 mRNA Expression bei T24</w:t>
      </w:r>
      <w:bookmarkEnd w:id="168"/>
      <w:r>
        <w:t xml:space="preserve"> </w:t>
      </w:r>
    </w:p>
    <w:p w14:paraId="020978A8" w14:textId="77777777" w:rsidR="00C85902" w:rsidRDefault="00C85902" w:rsidP="00C531DF">
      <w:pPr>
        <w:pStyle w:val="Beschriftung"/>
        <w:keepNext/>
      </w:pPr>
      <w:r>
        <w:t xml:space="preserve"> </w:t>
      </w:r>
      <w:r>
        <w:br/>
        <w:t>Übersicht der Genaue Zahlenwerte der Unterschiede in der CD276 mRNA Expression in T24 mit und ohne Mykoplasmen Infektion zu verschiedenen Zeitpunkten.</w:t>
      </w:r>
    </w:p>
    <w:tbl>
      <w:tblPr>
        <w:tblW w:w="7857" w:type="dxa"/>
        <w:tblCellMar>
          <w:left w:w="70" w:type="dxa"/>
          <w:right w:w="70" w:type="dxa"/>
        </w:tblCellMar>
        <w:tblLook w:val="04A0" w:firstRow="1" w:lastRow="0" w:firstColumn="1" w:lastColumn="0" w:noHBand="0" w:noVBand="1"/>
      </w:tblPr>
      <w:tblGrid>
        <w:gridCol w:w="4471"/>
        <w:gridCol w:w="3386"/>
      </w:tblGrid>
      <w:tr w:rsidR="00C85902" w:rsidRPr="00922A13" w14:paraId="2228DB6D" w14:textId="77777777" w:rsidTr="00A41F4D">
        <w:trPr>
          <w:trHeight w:val="227"/>
        </w:trPr>
        <w:tc>
          <w:tcPr>
            <w:tcW w:w="447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6670D" w14:textId="77777777" w:rsidR="00C85902" w:rsidRPr="00922A13" w:rsidRDefault="00C85902" w:rsidP="00675CB0">
            <w:pPr>
              <w:spacing w:after="0" w:line="240" w:lineRule="auto"/>
              <w:jc w:val="center"/>
              <w:rPr>
                <w:rFonts w:eastAsia="Times New Roman" w:cs="Arial"/>
                <w:b/>
                <w:bCs/>
                <w:sz w:val="20"/>
                <w:szCs w:val="20"/>
                <w:lang w:eastAsia="de-DE"/>
              </w:rPr>
            </w:pPr>
            <w:r w:rsidRPr="00922A13">
              <w:rPr>
                <w:rFonts w:eastAsia="Times New Roman" w:cs="Arial"/>
                <w:b/>
                <w:bCs/>
                <w:sz w:val="20"/>
                <w:szCs w:val="20"/>
                <w:lang w:eastAsia="de-DE"/>
              </w:rPr>
              <w:t>Zeitpunkt der Testung</w:t>
            </w:r>
          </w:p>
        </w:tc>
        <w:tc>
          <w:tcPr>
            <w:tcW w:w="3386" w:type="dxa"/>
            <w:tcBorders>
              <w:top w:val="single" w:sz="4" w:space="0" w:color="auto"/>
              <w:left w:val="nil"/>
              <w:bottom w:val="single" w:sz="4" w:space="0" w:color="auto"/>
              <w:right w:val="single" w:sz="4" w:space="0" w:color="auto"/>
            </w:tcBorders>
            <w:shd w:val="clear" w:color="000000" w:fill="F2F2F2"/>
            <w:noWrap/>
            <w:vAlign w:val="bottom"/>
            <w:hideMark/>
          </w:tcPr>
          <w:p w14:paraId="338C2309" w14:textId="77777777" w:rsidR="00C85902" w:rsidRPr="00922A13" w:rsidRDefault="00C85902" w:rsidP="00675CB0">
            <w:pPr>
              <w:spacing w:after="0" w:line="240" w:lineRule="auto"/>
              <w:jc w:val="center"/>
              <w:rPr>
                <w:rFonts w:ascii="Calibri" w:eastAsia="Times New Roman" w:hAnsi="Calibri" w:cs="Calibri"/>
                <w:b/>
                <w:bCs/>
                <w:color w:val="000000"/>
                <w:lang w:eastAsia="de-DE"/>
              </w:rPr>
            </w:pPr>
            <w:r w:rsidRPr="00922A13">
              <w:rPr>
                <w:rFonts w:ascii="Calibri" w:eastAsia="Times New Roman" w:hAnsi="Calibri" w:cs="Calibri"/>
                <w:b/>
                <w:bCs/>
                <w:color w:val="000000"/>
                <w:sz w:val="22"/>
                <w:lang w:eastAsia="de-DE"/>
              </w:rPr>
              <w:t>CD276 mRN</w:t>
            </w:r>
            <w:r>
              <w:rPr>
                <w:rFonts w:ascii="Calibri" w:eastAsia="Times New Roman" w:hAnsi="Calibri" w:cs="Calibri"/>
                <w:b/>
                <w:bCs/>
                <w:color w:val="000000"/>
                <w:sz w:val="22"/>
                <w:lang w:eastAsia="de-DE"/>
              </w:rPr>
              <w:t>A</w:t>
            </w:r>
            <w:r w:rsidRPr="00922A13">
              <w:rPr>
                <w:rFonts w:ascii="Calibri" w:eastAsia="Times New Roman" w:hAnsi="Calibri" w:cs="Calibri"/>
                <w:b/>
                <w:bCs/>
                <w:color w:val="000000"/>
                <w:sz w:val="22"/>
                <w:lang w:eastAsia="de-DE"/>
              </w:rPr>
              <w:t xml:space="preserve"> Expression in T24</w:t>
            </w:r>
          </w:p>
        </w:tc>
      </w:tr>
      <w:tr w:rsidR="00C85902" w:rsidRPr="00922A13" w14:paraId="36864668"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D9D9D9"/>
            <w:noWrap/>
            <w:vAlign w:val="bottom"/>
            <w:hideMark/>
          </w:tcPr>
          <w:p w14:paraId="14769F32"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eastAsia="Times New Roman" w:cs="Arial"/>
                <w:sz w:val="20"/>
                <w:szCs w:val="20"/>
                <w:lang w:eastAsia="de-DE"/>
              </w:rPr>
              <w:t xml:space="preserve"> Grundtestung</w:t>
            </w:r>
          </w:p>
        </w:tc>
        <w:tc>
          <w:tcPr>
            <w:tcW w:w="3386" w:type="dxa"/>
            <w:tcBorders>
              <w:top w:val="nil"/>
              <w:left w:val="nil"/>
              <w:bottom w:val="single" w:sz="4" w:space="0" w:color="auto"/>
              <w:right w:val="single" w:sz="4" w:space="0" w:color="auto"/>
            </w:tcBorders>
            <w:shd w:val="clear" w:color="000000" w:fill="D9D9D9"/>
            <w:noWrap/>
            <w:vAlign w:val="bottom"/>
            <w:hideMark/>
          </w:tcPr>
          <w:p w14:paraId="25C5F64A"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0,00669</w:t>
            </w:r>
          </w:p>
        </w:tc>
      </w:tr>
      <w:tr w:rsidR="00C85902" w:rsidRPr="00922A13" w14:paraId="74B186B4"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F2F2F2"/>
            <w:noWrap/>
            <w:vAlign w:val="bottom"/>
            <w:hideMark/>
          </w:tcPr>
          <w:p w14:paraId="5847CF3C"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eastAsia="Times New Roman" w:cs="Arial"/>
                <w:sz w:val="20"/>
                <w:szCs w:val="20"/>
                <w:lang w:eastAsia="de-DE"/>
              </w:rPr>
              <w:t xml:space="preserve"> 1. Woche</w:t>
            </w:r>
          </w:p>
        </w:tc>
        <w:tc>
          <w:tcPr>
            <w:tcW w:w="3386" w:type="dxa"/>
            <w:tcBorders>
              <w:top w:val="nil"/>
              <w:left w:val="nil"/>
              <w:bottom w:val="single" w:sz="4" w:space="0" w:color="auto"/>
              <w:right w:val="single" w:sz="4" w:space="0" w:color="auto"/>
            </w:tcBorders>
            <w:shd w:val="clear" w:color="000000" w:fill="F2F2F2"/>
            <w:noWrap/>
            <w:vAlign w:val="bottom"/>
            <w:hideMark/>
          </w:tcPr>
          <w:p w14:paraId="55E60743"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0,00622</w:t>
            </w:r>
          </w:p>
        </w:tc>
      </w:tr>
      <w:tr w:rsidR="00C85902" w:rsidRPr="00922A13" w14:paraId="1304B72C"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D9D9D9"/>
            <w:noWrap/>
            <w:vAlign w:val="bottom"/>
            <w:hideMark/>
          </w:tcPr>
          <w:p w14:paraId="5989A0C6"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eastAsia="Times New Roman" w:cs="Arial"/>
                <w:sz w:val="20"/>
                <w:szCs w:val="20"/>
                <w:lang w:eastAsia="de-DE"/>
              </w:rPr>
              <w:t xml:space="preserve"> 2. Woche</w:t>
            </w:r>
          </w:p>
        </w:tc>
        <w:tc>
          <w:tcPr>
            <w:tcW w:w="3386" w:type="dxa"/>
            <w:tcBorders>
              <w:top w:val="nil"/>
              <w:left w:val="nil"/>
              <w:bottom w:val="single" w:sz="4" w:space="0" w:color="auto"/>
              <w:right w:val="single" w:sz="4" w:space="0" w:color="auto"/>
            </w:tcBorders>
            <w:shd w:val="clear" w:color="000000" w:fill="D9D9D9"/>
            <w:noWrap/>
            <w:vAlign w:val="bottom"/>
            <w:hideMark/>
          </w:tcPr>
          <w:p w14:paraId="0FE9AFAA"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0,00681</w:t>
            </w:r>
          </w:p>
        </w:tc>
      </w:tr>
      <w:tr w:rsidR="00C85902" w:rsidRPr="00922A13" w14:paraId="1DD5F43D"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F2F2F2"/>
            <w:noWrap/>
            <w:vAlign w:val="bottom"/>
            <w:hideMark/>
          </w:tcPr>
          <w:p w14:paraId="36F3BF1E"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eastAsia="Times New Roman" w:cs="Arial"/>
                <w:sz w:val="20"/>
                <w:szCs w:val="20"/>
                <w:lang w:eastAsia="de-DE"/>
              </w:rPr>
              <w:t xml:space="preserve"> 3.Woche</w:t>
            </w:r>
          </w:p>
        </w:tc>
        <w:tc>
          <w:tcPr>
            <w:tcW w:w="3386" w:type="dxa"/>
            <w:tcBorders>
              <w:top w:val="nil"/>
              <w:left w:val="nil"/>
              <w:bottom w:val="single" w:sz="4" w:space="0" w:color="auto"/>
              <w:right w:val="single" w:sz="4" w:space="0" w:color="auto"/>
            </w:tcBorders>
            <w:shd w:val="clear" w:color="000000" w:fill="F2F2F2"/>
            <w:noWrap/>
            <w:vAlign w:val="bottom"/>
            <w:hideMark/>
          </w:tcPr>
          <w:p w14:paraId="3FF7BB37"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0,00665</w:t>
            </w:r>
          </w:p>
        </w:tc>
      </w:tr>
      <w:tr w:rsidR="00C85902" w:rsidRPr="00922A13" w14:paraId="65D7BB6A"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D9D9D9"/>
            <w:noWrap/>
            <w:vAlign w:val="bottom"/>
            <w:hideMark/>
          </w:tcPr>
          <w:p w14:paraId="34079809"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eastAsia="Times New Roman" w:cs="Arial"/>
                <w:sz w:val="20"/>
                <w:szCs w:val="20"/>
                <w:lang w:eastAsia="de-DE"/>
              </w:rPr>
              <w:t xml:space="preserve"> 4. Woche</w:t>
            </w:r>
          </w:p>
        </w:tc>
        <w:tc>
          <w:tcPr>
            <w:tcW w:w="3386" w:type="dxa"/>
            <w:tcBorders>
              <w:top w:val="nil"/>
              <w:left w:val="nil"/>
              <w:bottom w:val="single" w:sz="4" w:space="0" w:color="auto"/>
              <w:right w:val="single" w:sz="4" w:space="0" w:color="auto"/>
            </w:tcBorders>
            <w:shd w:val="clear" w:color="000000" w:fill="D9D9D9"/>
            <w:noWrap/>
            <w:vAlign w:val="bottom"/>
            <w:hideMark/>
          </w:tcPr>
          <w:p w14:paraId="22605CE0"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0,0068</w:t>
            </w:r>
          </w:p>
        </w:tc>
      </w:tr>
      <w:tr w:rsidR="00C85902" w:rsidRPr="00922A13" w14:paraId="22442C73"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F2F2F2"/>
            <w:noWrap/>
            <w:vAlign w:val="bottom"/>
            <w:hideMark/>
          </w:tcPr>
          <w:p w14:paraId="203DBAA2"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eastAsia="Times New Roman" w:cs="Arial"/>
                <w:sz w:val="20"/>
                <w:szCs w:val="20"/>
                <w:lang w:eastAsia="de-DE"/>
              </w:rPr>
              <w:t xml:space="preserve"> Grundtestung</w:t>
            </w:r>
          </w:p>
        </w:tc>
        <w:tc>
          <w:tcPr>
            <w:tcW w:w="3386" w:type="dxa"/>
            <w:tcBorders>
              <w:top w:val="nil"/>
              <w:left w:val="nil"/>
              <w:bottom w:val="single" w:sz="4" w:space="0" w:color="auto"/>
              <w:right w:val="single" w:sz="4" w:space="0" w:color="auto"/>
            </w:tcBorders>
            <w:shd w:val="clear" w:color="000000" w:fill="F2F2F2"/>
            <w:noWrap/>
            <w:vAlign w:val="bottom"/>
            <w:hideMark/>
          </w:tcPr>
          <w:p w14:paraId="7B2DAC9E"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0,00855</w:t>
            </w:r>
          </w:p>
        </w:tc>
      </w:tr>
      <w:tr w:rsidR="00C85902" w:rsidRPr="00922A13" w14:paraId="2F8AAD34"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D9D9D9"/>
            <w:noWrap/>
            <w:vAlign w:val="bottom"/>
            <w:hideMark/>
          </w:tcPr>
          <w:p w14:paraId="2C6A05C7"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eastAsia="Times New Roman" w:cs="Arial"/>
                <w:sz w:val="20"/>
                <w:szCs w:val="20"/>
                <w:lang w:eastAsia="de-DE"/>
              </w:rPr>
              <w:t xml:space="preserve"> 1.Woche</w:t>
            </w:r>
          </w:p>
        </w:tc>
        <w:tc>
          <w:tcPr>
            <w:tcW w:w="3386" w:type="dxa"/>
            <w:tcBorders>
              <w:top w:val="nil"/>
              <w:left w:val="nil"/>
              <w:bottom w:val="single" w:sz="4" w:space="0" w:color="auto"/>
              <w:right w:val="single" w:sz="4" w:space="0" w:color="auto"/>
            </w:tcBorders>
            <w:shd w:val="clear" w:color="000000" w:fill="D9D9D9"/>
            <w:noWrap/>
            <w:vAlign w:val="bottom"/>
            <w:hideMark/>
          </w:tcPr>
          <w:p w14:paraId="7A6C8080"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0,0139</w:t>
            </w:r>
          </w:p>
        </w:tc>
      </w:tr>
      <w:tr w:rsidR="00C85902" w:rsidRPr="00922A13" w14:paraId="370B6B1A"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F2F2F2"/>
            <w:noWrap/>
            <w:vAlign w:val="bottom"/>
            <w:hideMark/>
          </w:tcPr>
          <w:p w14:paraId="762383B9"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eastAsia="Times New Roman" w:cs="Arial"/>
                <w:sz w:val="20"/>
                <w:szCs w:val="20"/>
                <w:lang w:eastAsia="de-DE"/>
              </w:rPr>
              <w:t xml:space="preserve"> 2. Woche</w:t>
            </w:r>
          </w:p>
        </w:tc>
        <w:tc>
          <w:tcPr>
            <w:tcW w:w="3386" w:type="dxa"/>
            <w:tcBorders>
              <w:top w:val="nil"/>
              <w:left w:val="nil"/>
              <w:bottom w:val="single" w:sz="4" w:space="0" w:color="auto"/>
              <w:right w:val="single" w:sz="4" w:space="0" w:color="auto"/>
            </w:tcBorders>
            <w:shd w:val="clear" w:color="000000" w:fill="F2F2F2"/>
            <w:noWrap/>
            <w:vAlign w:val="bottom"/>
            <w:hideMark/>
          </w:tcPr>
          <w:p w14:paraId="4B813642"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0,0122</w:t>
            </w:r>
          </w:p>
        </w:tc>
      </w:tr>
      <w:tr w:rsidR="00C85902" w:rsidRPr="00922A13" w14:paraId="6334380B"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D9D9D9"/>
            <w:noWrap/>
            <w:vAlign w:val="bottom"/>
            <w:hideMark/>
          </w:tcPr>
          <w:p w14:paraId="4C189837"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eastAsia="Times New Roman" w:cs="Arial"/>
                <w:sz w:val="20"/>
                <w:szCs w:val="20"/>
                <w:lang w:eastAsia="de-DE"/>
              </w:rPr>
              <w:t xml:space="preserve"> 3. Woche</w:t>
            </w:r>
          </w:p>
        </w:tc>
        <w:tc>
          <w:tcPr>
            <w:tcW w:w="3386" w:type="dxa"/>
            <w:tcBorders>
              <w:top w:val="nil"/>
              <w:left w:val="nil"/>
              <w:bottom w:val="single" w:sz="4" w:space="0" w:color="auto"/>
              <w:right w:val="single" w:sz="4" w:space="0" w:color="auto"/>
            </w:tcBorders>
            <w:shd w:val="clear" w:color="000000" w:fill="D9D9D9"/>
            <w:noWrap/>
            <w:vAlign w:val="bottom"/>
            <w:hideMark/>
          </w:tcPr>
          <w:p w14:paraId="669452AA"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0,00889</w:t>
            </w:r>
          </w:p>
        </w:tc>
      </w:tr>
      <w:tr w:rsidR="00C85902" w:rsidRPr="00922A13" w14:paraId="1AA6EF2B" w14:textId="77777777" w:rsidTr="00A41F4D">
        <w:trPr>
          <w:trHeight w:val="227"/>
        </w:trPr>
        <w:tc>
          <w:tcPr>
            <w:tcW w:w="4471" w:type="dxa"/>
            <w:tcBorders>
              <w:top w:val="nil"/>
              <w:left w:val="single" w:sz="4" w:space="0" w:color="auto"/>
              <w:bottom w:val="single" w:sz="4" w:space="0" w:color="auto"/>
              <w:right w:val="single" w:sz="4" w:space="0" w:color="auto"/>
            </w:tcBorders>
            <w:shd w:val="clear" w:color="000000" w:fill="F2F2F2"/>
            <w:noWrap/>
            <w:vAlign w:val="bottom"/>
            <w:hideMark/>
          </w:tcPr>
          <w:p w14:paraId="6556FA9A"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T24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eastAsia="Times New Roman" w:cs="Arial"/>
                <w:sz w:val="20"/>
                <w:szCs w:val="20"/>
                <w:lang w:eastAsia="de-DE"/>
              </w:rPr>
              <w:t xml:space="preserve"> 4. </w:t>
            </w:r>
            <w:r>
              <w:rPr>
                <w:rFonts w:eastAsia="Times New Roman" w:cs="Arial"/>
                <w:sz w:val="20"/>
                <w:szCs w:val="20"/>
                <w:lang w:eastAsia="de-DE"/>
              </w:rPr>
              <w:t>W</w:t>
            </w:r>
            <w:r w:rsidRPr="00922A13">
              <w:rPr>
                <w:rFonts w:eastAsia="Times New Roman" w:cs="Arial"/>
                <w:sz w:val="20"/>
                <w:szCs w:val="20"/>
                <w:lang w:eastAsia="de-DE"/>
              </w:rPr>
              <w:t>oche</w:t>
            </w:r>
          </w:p>
        </w:tc>
        <w:tc>
          <w:tcPr>
            <w:tcW w:w="3386" w:type="dxa"/>
            <w:tcBorders>
              <w:top w:val="nil"/>
              <w:left w:val="nil"/>
              <w:bottom w:val="single" w:sz="4" w:space="0" w:color="auto"/>
              <w:right w:val="single" w:sz="4" w:space="0" w:color="auto"/>
            </w:tcBorders>
            <w:shd w:val="clear" w:color="000000" w:fill="D9D9D9"/>
            <w:noWrap/>
            <w:vAlign w:val="bottom"/>
            <w:hideMark/>
          </w:tcPr>
          <w:p w14:paraId="54D8C268" w14:textId="77777777" w:rsidR="00C85902" w:rsidRPr="00922A13" w:rsidRDefault="00C85902" w:rsidP="003F7D41">
            <w:pPr>
              <w:keepNext/>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0,00914</w:t>
            </w:r>
          </w:p>
        </w:tc>
      </w:tr>
    </w:tbl>
    <w:p w14:paraId="113200DE" w14:textId="77777777" w:rsidR="00C85902" w:rsidRDefault="00C85902" w:rsidP="005F345B"/>
    <w:p w14:paraId="4657F99F" w14:textId="3E2CE74C" w:rsidR="00C85902" w:rsidRPr="005F345B" w:rsidRDefault="00C85902" w:rsidP="005F345B">
      <w:r>
        <w:t>Bei der Zelllinie HT1197 erfolgte eine Infektion mit Mykoplasmen durch T24-Überstand. Im Vergleich mit den Zelllinien Cal29 und T24 ließ sich bei HT1197 auf den ersten Blick (</w:t>
      </w:r>
      <w:r>
        <w:fldChar w:fldCharType="begin"/>
      </w:r>
      <w:r>
        <w:instrText xml:space="preserve"> REF _Ref84257445 \h </w:instrText>
      </w:r>
      <w:r>
        <w:fldChar w:fldCharType="separate"/>
      </w:r>
      <w:r w:rsidR="00791554">
        <w:t xml:space="preserve">Abbildung </w:t>
      </w:r>
      <w:r w:rsidR="00791554">
        <w:rPr>
          <w:noProof/>
        </w:rPr>
        <w:t>16</w:t>
      </w:r>
      <w:r>
        <w:fldChar w:fldCharType="end"/>
      </w:r>
      <w:r>
        <w:t xml:space="preserve"> und </w:t>
      </w:r>
      <w:r>
        <w:fldChar w:fldCharType="begin"/>
      </w:r>
      <w:r>
        <w:instrText xml:space="preserve"> REF _Ref120301389 \h </w:instrText>
      </w:r>
      <w:r>
        <w:fldChar w:fldCharType="separate"/>
      </w:r>
      <w:r w:rsidR="00791554">
        <w:t xml:space="preserve">Tabelle </w:t>
      </w:r>
      <w:r w:rsidR="00791554">
        <w:rPr>
          <w:noProof/>
        </w:rPr>
        <w:t>27</w:t>
      </w:r>
      <w:r>
        <w:fldChar w:fldCharType="end"/>
      </w:r>
      <w:r>
        <w:rPr>
          <w:sz w:val="26"/>
          <w:szCs w:val="24"/>
        </w:rPr>
        <w:t>)</w:t>
      </w:r>
      <w:r>
        <w:t xml:space="preserve"> keine klare Tendenz des CD276 mRNA Gehalts der Zellen erkennen. Vergleicht man jedoch die Mittelwerte (</w:t>
      </w:r>
      <w:r>
        <w:fldChar w:fldCharType="begin"/>
      </w:r>
      <w:r>
        <w:instrText xml:space="preserve"> REF _Ref84257948 \h </w:instrText>
      </w:r>
      <w:r>
        <w:fldChar w:fldCharType="separate"/>
      </w:r>
      <w:r w:rsidR="00791554">
        <w:t xml:space="preserve">Abbildung </w:t>
      </w:r>
      <w:r w:rsidR="00791554">
        <w:rPr>
          <w:noProof/>
        </w:rPr>
        <w:t>17</w:t>
      </w:r>
      <w:r>
        <w:fldChar w:fldCharType="end"/>
      </w:r>
      <w:r>
        <w:t>), erkennt man, dass die nicht-infizierten HT1197 Zellen durchschnittlich einen höheren Gehalt an CD276 mRNA hatten als die mit Mykoplasmen infizierten Zellen.</w:t>
      </w:r>
    </w:p>
    <w:p w14:paraId="381032B6" w14:textId="77777777" w:rsidR="00C85902" w:rsidRDefault="00C85902" w:rsidP="003F7D41">
      <w:pPr>
        <w:keepNext/>
      </w:pPr>
      <w:r>
        <w:rPr>
          <w:noProof/>
        </w:rPr>
        <w:drawing>
          <wp:inline distT="0" distB="0" distL="0" distR="0" wp14:anchorId="7CB4F1BD" wp14:editId="44AADBBE">
            <wp:extent cx="5400040" cy="2578100"/>
            <wp:effectExtent l="0" t="0" r="0" b="0"/>
            <wp:docPr id="45" name="Diagramm 45">
              <a:extLst xmlns:a="http://schemas.openxmlformats.org/drawingml/2006/main">
                <a:ext uri="{FF2B5EF4-FFF2-40B4-BE49-F238E27FC236}">
                  <a16:creationId xmlns:a16="http://schemas.microsoft.com/office/drawing/2014/main" id="{EF4D8F9A-5BB7-4317-8AC5-6214CA3E9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7643CF" w14:textId="35A81115" w:rsidR="00C85902" w:rsidRPr="00A41F4D" w:rsidRDefault="00C85902" w:rsidP="003F7D41">
      <w:pPr>
        <w:pStyle w:val="Beschriftung"/>
        <w:rPr>
          <w:vanish/>
          <w:specVanish/>
        </w:rPr>
      </w:pPr>
      <w:bookmarkStart w:id="169" w:name="_Ref84257445"/>
      <w:bookmarkStart w:id="170" w:name="_Toc120649893"/>
      <w:r>
        <w:t xml:space="preserve">Abbildung </w:t>
      </w:r>
      <w:r>
        <w:fldChar w:fldCharType="begin"/>
      </w:r>
      <w:r>
        <w:instrText xml:space="preserve"> SEQ Abbildung \* ARABIC </w:instrText>
      </w:r>
      <w:r>
        <w:fldChar w:fldCharType="separate"/>
      </w:r>
      <w:r w:rsidR="00791554">
        <w:rPr>
          <w:noProof/>
        </w:rPr>
        <w:t>16</w:t>
      </w:r>
      <w:r>
        <w:rPr>
          <w:noProof/>
        </w:rPr>
        <w:fldChar w:fldCharType="end"/>
      </w:r>
      <w:bookmarkEnd w:id="169"/>
      <w:r>
        <w:t xml:space="preserve"> </w:t>
      </w:r>
      <w:r w:rsidRPr="005A7651">
        <w:t xml:space="preserve">CD276 mRNA Expression bei </w:t>
      </w:r>
      <w:r>
        <w:t>HT1197</w:t>
      </w:r>
      <w:bookmarkEnd w:id="170"/>
      <w:r>
        <w:t xml:space="preserve"> </w:t>
      </w:r>
    </w:p>
    <w:p w14:paraId="34145848" w14:textId="77777777" w:rsidR="00C85902" w:rsidRDefault="00C85902" w:rsidP="003F7D41">
      <w:pPr>
        <w:pStyle w:val="Beschriftung"/>
      </w:pPr>
      <w:r>
        <w:t xml:space="preserve"> </w:t>
      </w:r>
      <w:r>
        <w:br/>
        <w:t xml:space="preserve">Übersicht der Unterschiede in der CD276 mRNA Expression bei mit Mykoplasmen infizierten und nicht-infizierten HT1197 Zellen zu verschiedenen Zeitpunkten. </w:t>
      </w:r>
    </w:p>
    <w:p w14:paraId="0B8B9435" w14:textId="1267C4FC" w:rsidR="00C85902" w:rsidRPr="00A41F4D" w:rsidRDefault="00C85902" w:rsidP="00C531DF">
      <w:pPr>
        <w:pStyle w:val="Beschriftung"/>
        <w:keepNext/>
        <w:rPr>
          <w:vanish/>
          <w:specVanish/>
        </w:rPr>
      </w:pPr>
      <w:bookmarkStart w:id="171" w:name="_Ref120301389"/>
      <w:bookmarkStart w:id="172" w:name="_Toc120649869"/>
      <w:r>
        <w:t xml:space="preserve">Tabelle </w:t>
      </w:r>
      <w:r>
        <w:fldChar w:fldCharType="begin"/>
      </w:r>
      <w:r>
        <w:instrText xml:space="preserve"> SEQ Tabelle \* ARABIC </w:instrText>
      </w:r>
      <w:r>
        <w:fldChar w:fldCharType="separate"/>
      </w:r>
      <w:r w:rsidR="00791554">
        <w:rPr>
          <w:noProof/>
        </w:rPr>
        <w:t>27</w:t>
      </w:r>
      <w:r>
        <w:rPr>
          <w:noProof/>
        </w:rPr>
        <w:fldChar w:fldCharType="end"/>
      </w:r>
      <w:bookmarkEnd w:id="171"/>
      <w:r>
        <w:t xml:space="preserve"> </w:t>
      </w:r>
      <w:r w:rsidRPr="00D5086E">
        <w:t>Werte der CD276 mRNA Expression bei HT1197</w:t>
      </w:r>
      <w:bookmarkEnd w:id="172"/>
      <w:r>
        <w:t xml:space="preserve"> </w:t>
      </w:r>
    </w:p>
    <w:p w14:paraId="04C164C3" w14:textId="77777777" w:rsidR="00C85902" w:rsidRDefault="00C85902" w:rsidP="00C531DF">
      <w:pPr>
        <w:pStyle w:val="Beschriftung"/>
        <w:keepNext/>
      </w:pPr>
      <w:r>
        <w:t xml:space="preserve"> </w:t>
      </w:r>
      <w:r>
        <w:br/>
        <w:t>Übersicht der Genaue Zahlenwerte der Unterschiede in der CD276 mRNA Expression in HT1197 mit und ohne Mykoplasmen Infektion zu verschiedenen Zeitpunkten.</w:t>
      </w:r>
    </w:p>
    <w:tbl>
      <w:tblPr>
        <w:tblW w:w="8508" w:type="dxa"/>
        <w:tblCellMar>
          <w:left w:w="70" w:type="dxa"/>
          <w:right w:w="70" w:type="dxa"/>
        </w:tblCellMar>
        <w:tblLook w:val="04A0" w:firstRow="1" w:lastRow="0" w:firstColumn="1" w:lastColumn="0" w:noHBand="0" w:noVBand="1"/>
      </w:tblPr>
      <w:tblGrid>
        <w:gridCol w:w="4897"/>
        <w:gridCol w:w="3611"/>
      </w:tblGrid>
      <w:tr w:rsidR="00C85902" w:rsidRPr="000B09B0" w14:paraId="6F1AC481" w14:textId="77777777" w:rsidTr="003462E4">
        <w:trPr>
          <w:trHeight w:val="280"/>
        </w:trPr>
        <w:tc>
          <w:tcPr>
            <w:tcW w:w="48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34677" w14:textId="77777777" w:rsidR="00C85902" w:rsidRPr="00922A13" w:rsidRDefault="00C85902" w:rsidP="00675CB0">
            <w:pPr>
              <w:spacing w:after="0" w:line="240" w:lineRule="auto"/>
              <w:jc w:val="center"/>
              <w:rPr>
                <w:rFonts w:eastAsia="Times New Roman" w:cs="Arial"/>
                <w:b/>
                <w:bCs/>
                <w:sz w:val="20"/>
                <w:szCs w:val="20"/>
                <w:lang w:eastAsia="de-DE"/>
              </w:rPr>
            </w:pPr>
            <w:r w:rsidRPr="00922A13">
              <w:rPr>
                <w:rFonts w:eastAsia="Times New Roman" w:cs="Arial"/>
                <w:b/>
                <w:bCs/>
                <w:sz w:val="20"/>
                <w:szCs w:val="20"/>
                <w:lang w:eastAsia="de-DE"/>
              </w:rPr>
              <w:t>Zeitpunkt der Testung</w:t>
            </w:r>
          </w:p>
        </w:tc>
        <w:tc>
          <w:tcPr>
            <w:tcW w:w="3611" w:type="dxa"/>
            <w:tcBorders>
              <w:top w:val="single" w:sz="4" w:space="0" w:color="auto"/>
              <w:left w:val="nil"/>
              <w:bottom w:val="single" w:sz="4" w:space="0" w:color="auto"/>
              <w:right w:val="single" w:sz="4" w:space="0" w:color="auto"/>
            </w:tcBorders>
            <w:shd w:val="clear" w:color="000000" w:fill="F2F2F2"/>
            <w:noWrap/>
            <w:vAlign w:val="bottom"/>
            <w:hideMark/>
          </w:tcPr>
          <w:p w14:paraId="51F2EA7E" w14:textId="77777777" w:rsidR="00C85902" w:rsidRPr="00922A13" w:rsidRDefault="00C85902" w:rsidP="00675CB0">
            <w:pPr>
              <w:spacing w:after="0" w:line="240" w:lineRule="auto"/>
              <w:jc w:val="center"/>
              <w:rPr>
                <w:rFonts w:ascii="Calibri" w:eastAsia="Times New Roman" w:hAnsi="Calibri" w:cs="Calibri"/>
                <w:b/>
                <w:bCs/>
                <w:color w:val="000000"/>
                <w:lang w:val="en-GB" w:eastAsia="de-DE"/>
              </w:rPr>
            </w:pPr>
            <w:r w:rsidRPr="00922A13">
              <w:rPr>
                <w:rFonts w:ascii="Calibri" w:eastAsia="Times New Roman" w:hAnsi="Calibri" w:cs="Calibri"/>
                <w:b/>
                <w:bCs/>
                <w:color w:val="000000"/>
                <w:sz w:val="22"/>
                <w:lang w:val="en-GB" w:eastAsia="de-DE"/>
              </w:rPr>
              <w:t>CD276 mRN</w:t>
            </w:r>
            <w:r>
              <w:rPr>
                <w:rFonts w:ascii="Calibri" w:eastAsia="Times New Roman" w:hAnsi="Calibri" w:cs="Calibri"/>
                <w:b/>
                <w:bCs/>
                <w:color w:val="000000"/>
                <w:sz w:val="22"/>
                <w:lang w:val="en-GB" w:eastAsia="de-DE"/>
              </w:rPr>
              <w:t>A</w:t>
            </w:r>
            <w:r w:rsidRPr="00922A13">
              <w:rPr>
                <w:rFonts w:ascii="Calibri" w:eastAsia="Times New Roman" w:hAnsi="Calibri" w:cs="Calibri"/>
                <w:b/>
                <w:bCs/>
                <w:color w:val="000000"/>
                <w:sz w:val="22"/>
                <w:lang w:val="en-GB" w:eastAsia="de-DE"/>
              </w:rPr>
              <w:t xml:space="preserve"> Expression in HT1197</w:t>
            </w:r>
          </w:p>
        </w:tc>
      </w:tr>
      <w:tr w:rsidR="00C85902" w:rsidRPr="00922A13" w14:paraId="39AF2A23"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D9D9D9"/>
            <w:noWrap/>
            <w:vAlign w:val="bottom"/>
            <w:hideMark/>
          </w:tcPr>
          <w:p w14:paraId="70F175CE"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 xml:space="preserve">HT1197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eastAsia="Times New Roman" w:cs="Arial"/>
                <w:sz w:val="20"/>
                <w:szCs w:val="20"/>
                <w:lang w:eastAsia="de-DE"/>
              </w:rPr>
              <w:t xml:space="preserve"> Grundtestung</w:t>
            </w:r>
          </w:p>
        </w:tc>
        <w:tc>
          <w:tcPr>
            <w:tcW w:w="3611" w:type="dxa"/>
            <w:tcBorders>
              <w:top w:val="nil"/>
              <w:left w:val="nil"/>
              <w:bottom w:val="single" w:sz="4" w:space="0" w:color="auto"/>
              <w:right w:val="single" w:sz="4" w:space="0" w:color="auto"/>
            </w:tcBorders>
            <w:shd w:val="clear" w:color="000000" w:fill="D9D9D9"/>
            <w:noWrap/>
            <w:vAlign w:val="bottom"/>
            <w:hideMark/>
          </w:tcPr>
          <w:p w14:paraId="7A41643B"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0,0588</w:t>
            </w:r>
          </w:p>
        </w:tc>
      </w:tr>
      <w:tr w:rsidR="00C85902" w:rsidRPr="00922A13" w14:paraId="1859939F" w14:textId="77777777" w:rsidTr="00675CB0">
        <w:trPr>
          <w:trHeight w:val="227"/>
        </w:trPr>
        <w:tc>
          <w:tcPr>
            <w:tcW w:w="4897" w:type="dxa"/>
            <w:tcBorders>
              <w:top w:val="nil"/>
              <w:left w:val="single" w:sz="4" w:space="0" w:color="auto"/>
              <w:bottom w:val="single" w:sz="4" w:space="0" w:color="auto"/>
              <w:right w:val="single" w:sz="4" w:space="0" w:color="auto"/>
            </w:tcBorders>
            <w:shd w:val="clear" w:color="000000" w:fill="F2F2F2"/>
            <w:noWrap/>
            <w:vAlign w:val="bottom"/>
            <w:hideMark/>
          </w:tcPr>
          <w:p w14:paraId="0FF0608D"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ascii="Calibri" w:eastAsia="Times New Roman" w:hAnsi="Calibri" w:cs="Calibri"/>
                <w:color w:val="000000"/>
                <w:sz w:val="22"/>
                <w:lang w:eastAsia="de-DE"/>
              </w:rPr>
              <w:t xml:space="preserve"> 2. Woche</w:t>
            </w:r>
          </w:p>
        </w:tc>
        <w:tc>
          <w:tcPr>
            <w:tcW w:w="3611" w:type="dxa"/>
            <w:tcBorders>
              <w:top w:val="nil"/>
              <w:left w:val="nil"/>
              <w:bottom w:val="single" w:sz="4" w:space="0" w:color="auto"/>
              <w:right w:val="single" w:sz="4" w:space="0" w:color="auto"/>
            </w:tcBorders>
            <w:shd w:val="clear" w:color="000000" w:fill="F2F2F2"/>
            <w:noWrap/>
            <w:vAlign w:val="bottom"/>
            <w:hideMark/>
          </w:tcPr>
          <w:p w14:paraId="13B4C0EA"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0,0284</w:t>
            </w:r>
          </w:p>
        </w:tc>
      </w:tr>
      <w:tr w:rsidR="00C85902" w:rsidRPr="00922A13" w14:paraId="5BD8FAFB"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D9D9D9"/>
            <w:noWrap/>
            <w:vAlign w:val="bottom"/>
            <w:hideMark/>
          </w:tcPr>
          <w:p w14:paraId="3F810098"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ascii="Calibri" w:eastAsia="Times New Roman" w:hAnsi="Calibri" w:cs="Calibri"/>
                <w:color w:val="000000"/>
                <w:sz w:val="22"/>
                <w:lang w:eastAsia="de-DE"/>
              </w:rPr>
              <w:t xml:space="preserve"> 4. Woche</w:t>
            </w:r>
          </w:p>
        </w:tc>
        <w:tc>
          <w:tcPr>
            <w:tcW w:w="3611" w:type="dxa"/>
            <w:tcBorders>
              <w:top w:val="nil"/>
              <w:left w:val="nil"/>
              <w:bottom w:val="single" w:sz="4" w:space="0" w:color="auto"/>
              <w:right w:val="single" w:sz="4" w:space="0" w:color="auto"/>
            </w:tcBorders>
            <w:shd w:val="clear" w:color="000000" w:fill="D9D9D9"/>
            <w:noWrap/>
            <w:vAlign w:val="bottom"/>
            <w:hideMark/>
          </w:tcPr>
          <w:p w14:paraId="5300AC25"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0,034</w:t>
            </w:r>
          </w:p>
        </w:tc>
      </w:tr>
      <w:tr w:rsidR="00C85902" w:rsidRPr="00922A13" w14:paraId="0B01578F"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F2F2F2"/>
            <w:noWrap/>
            <w:vAlign w:val="bottom"/>
            <w:hideMark/>
          </w:tcPr>
          <w:p w14:paraId="2E214C79"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ascii="Calibri" w:eastAsia="Times New Roman" w:hAnsi="Calibri" w:cs="Calibri"/>
                <w:color w:val="000000"/>
                <w:sz w:val="22"/>
                <w:lang w:eastAsia="de-DE"/>
              </w:rPr>
              <w:t xml:space="preserve"> 6. Woche</w:t>
            </w:r>
          </w:p>
        </w:tc>
        <w:tc>
          <w:tcPr>
            <w:tcW w:w="3611" w:type="dxa"/>
            <w:tcBorders>
              <w:top w:val="nil"/>
              <w:left w:val="nil"/>
              <w:bottom w:val="single" w:sz="4" w:space="0" w:color="auto"/>
              <w:right w:val="single" w:sz="4" w:space="0" w:color="auto"/>
            </w:tcBorders>
            <w:shd w:val="clear" w:color="000000" w:fill="F2F2F2"/>
            <w:noWrap/>
            <w:vAlign w:val="bottom"/>
            <w:hideMark/>
          </w:tcPr>
          <w:p w14:paraId="4E7F76E7"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0,0272</w:t>
            </w:r>
          </w:p>
        </w:tc>
      </w:tr>
      <w:tr w:rsidR="00C85902" w:rsidRPr="00922A13" w14:paraId="2E40FD42"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D9D9D9"/>
            <w:noWrap/>
            <w:vAlign w:val="bottom"/>
            <w:hideMark/>
          </w:tcPr>
          <w:p w14:paraId="4D88C20B"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922A13">
              <w:rPr>
                <w:rFonts w:ascii="Calibri" w:eastAsia="Times New Roman" w:hAnsi="Calibri" w:cs="Calibri"/>
                <w:color w:val="000000"/>
                <w:sz w:val="22"/>
                <w:lang w:eastAsia="de-DE"/>
              </w:rPr>
              <w:t xml:space="preserve"> 8. Woche</w:t>
            </w:r>
          </w:p>
        </w:tc>
        <w:tc>
          <w:tcPr>
            <w:tcW w:w="3611" w:type="dxa"/>
            <w:tcBorders>
              <w:top w:val="nil"/>
              <w:left w:val="nil"/>
              <w:bottom w:val="single" w:sz="4" w:space="0" w:color="auto"/>
              <w:right w:val="single" w:sz="4" w:space="0" w:color="auto"/>
            </w:tcBorders>
            <w:shd w:val="clear" w:color="000000" w:fill="D9D9D9"/>
            <w:noWrap/>
            <w:vAlign w:val="bottom"/>
            <w:hideMark/>
          </w:tcPr>
          <w:p w14:paraId="12890993"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0,0171</w:t>
            </w:r>
          </w:p>
        </w:tc>
      </w:tr>
      <w:tr w:rsidR="00C85902" w:rsidRPr="00922A13" w14:paraId="045E0BE7"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F2F2F2"/>
            <w:noWrap/>
            <w:vAlign w:val="bottom"/>
            <w:hideMark/>
          </w:tcPr>
          <w:p w14:paraId="0E4090F1" w14:textId="77777777" w:rsidR="00C85902" w:rsidRPr="00922A13" w:rsidRDefault="00C85902" w:rsidP="00922A13">
            <w:pPr>
              <w:spacing w:after="0" w:line="240" w:lineRule="auto"/>
              <w:rPr>
                <w:rFonts w:eastAsia="Times New Roman" w:cs="Arial"/>
                <w:sz w:val="20"/>
                <w:szCs w:val="20"/>
                <w:lang w:eastAsia="de-DE"/>
              </w:rPr>
            </w:pPr>
            <w:r w:rsidRPr="00922A13">
              <w:rPr>
                <w:rFonts w:eastAsia="Times New Roman" w:cs="Arial"/>
                <w:sz w:val="20"/>
                <w:szCs w:val="20"/>
                <w:lang w:eastAsia="de-DE"/>
              </w:rPr>
              <w:t>HT1197</w:t>
            </w:r>
            <w:r>
              <w:rPr>
                <w:rFonts w:eastAsia="Times New Roman" w:cs="Arial"/>
                <w:sz w:val="20"/>
                <w:szCs w:val="20"/>
                <w:lang w:eastAsia="de-DE"/>
              </w:rPr>
              <w:t xml:space="preserve">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eastAsia="Times New Roman" w:cs="Arial"/>
                <w:sz w:val="20"/>
                <w:szCs w:val="20"/>
                <w:lang w:eastAsia="de-DE"/>
              </w:rPr>
              <w:t xml:space="preserve"> Grundtestung</w:t>
            </w:r>
          </w:p>
        </w:tc>
        <w:tc>
          <w:tcPr>
            <w:tcW w:w="3611" w:type="dxa"/>
            <w:tcBorders>
              <w:top w:val="nil"/>
              <w:left w:val="nil"/>
              <w:bottom w:val="single" w:sz="4" w:space="0" w:color="auto"/>
              <w:right w:val="single" w:sz="4" w:space="0" w:color="auto"/>
            </w:tcBorders>
            <w:shd w:val="clear" w:color="000000" w:fill="F2F2F2"/>
            <w:noWrap/>
            <w:vAlign w:val="bottom"/>
            <w:hideMark/>
          </w:tcPr>
          <w:p w14:paraId="5E05175C"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0,0068</w:t>
            </w:r>
          </w:p>
        </w:tc>
      </w:tr>
      <w:tr w:rsidR="00C85902" w:rsidRPr="00922A13" w14:paraId="68218FCF"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D9D9D9"/>
            <w:noWrap/>
            <w:vAlign w:val="bottom"/>
            <w:hideMark/>
          </w:tcPr>
          <w:p w14:paraId="26FB4A7A"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ascii="Calibri" w:eastAsia="Times New Roman" w:hAnsi="Calibri" w:cs="Calibri"/>
                <w:color w:val="000000"/>
                <w:sz w:val="22"/>
                <w:lang w:eastAsia="de-DE"/>
              </w:rPr>
              <w:t xml:space="preserve"> 2. Woche</w:t>
            </w:r>
          </w:p>
        </w:tc>
        <w:tc>
          <w:tcPr>
            <w:tcW w:w="3611" w:type="dxa"/>
            <w:tcBorders>
              <w:top w:val="nil"/>
              <w:left w:val="nil"/>
              <w:bottom w:val="single" w:sz="4" w:space="0" w:color="auto"/>
              <w:right w:val="single" w:sz="4" w:space="0" w:color="auto"/>
            </w:tcBorders>
            <w:shd w:val="clear" w:color="000000" w:fill="D9D9D9"/>
            <w:noWrap/>
            <w:vAlign w:val="bottom"/>
            <w:hideMark/>
          </w:tcPr>
          <w:p w14:paraId="1164EE95"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0,02</w:t>
            </w:r>
          </w:p>
        </w:tc>
      </w:tr>
      <w:tr w:rsidR="00C85902" w:rsidRPr="00922A13" w14:paraId="7526E8E6"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F2F2F2"/>
            <w:noWrap/>
            <w:vAlign w:val="bottom"/>
            <w:hideMark/>
          </w:tcPr>
          <w:p w14:paraId="6A96F58D"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ascii="Calibri" w:eastAsia="Times New Roman" w:hAnsi="Calibri" w:cs="Calibri"/>
                <w:color w:val="000000"/>
                <w:sz w:val="22"/>
                <w:lang w:eastAsia="de-DE"/>
              </w:rPr>
              <w:t xml:space="preserve"> 4. Woche</w:t>
            </w:r>
          </w:p>
        </w:tc>
        <w:tc>
          <w:tcPr>
            <w:tcW w:w="3611" w:type="dxa"/>
            <w:tcBorders>
              <w:top w:val="nil"/>
              <w:left w:val="nil"/>
              <w:bottom w:val="single" w:sz="4" w:space="0" w:color="auto"/>
              <w:right w:val="single" w:sz="4" w:space="0" w:color="auto"/>
            </w:tcBorders>
            <w:shd w:val="clear" w:color="000000" w:fill="F2F2F2"/>
            <w:noWrap/>
            <w:vAlign w:val="bottom"/>
            <w:hideMark/>
          </w:tcPr>
          <w:p w14:paraId="3C571E01"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0,0271</w:t>
            </w:r>
          </w:p>
        </w:tc>
      </w:tr>
      <w:tr w:rsidR="00C85902" w:rsidRPr="00922A13" w14:paraId="276561BC"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D9D9D9"/>
            <w:noWrap/>
            <w:vAlign w:val="bottom"/>
            <w:hideMark/>
          </w:tcPr>
          <w:p w14:paraId="70C1A5E7"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ascii="Calibri" w:eastAsia="Times New Roman" w:hAnsi="Calibri" w:cs="Calibri"/>
                <w:color w:val="000000"/>
                <w:sz w:val="22"/>
                <w:lang w:eastAsia="de-DE"/>
              </w:rPr>
              <w:t xml:space="preserve"> 6. Woche</w:t>
            </w:r>
          </w:p>
        </w:tc>
        <w:tc>
          <w:tcPr>
            <w:tcW w:w="3611" w:type="dxa"/>
            <w:tcBorders>
              <w:top w:val="nil"/>
              <w:left w:val="nil"/>
              <w:bottom w:val="single" w:sz="4" w:space="0" w:color="auto"/>
              <w:right w:val="single" w:sz="4" w:space="0" w:color="auto"/>
            </w:tcBorders>
            <w:shd w:val="clear" w:color="000000" w:fill="D9D9D9"/>
            <w:noWrap/>
            <w:vAlign w:val="bottom"/>
            <w:hideMark/>
          </w:tcPr>
          <w:p w14:paraId="500693EA" w14:textId="77777777" w:rsidR="00C85902" w:rsidRPr="00922A13" w:rsidRDefault="00C85902" w:rsidP="00922A13">
            <w:pPr>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0,0268</w:t>
            </w:r>
          </w:p>
        </w:tc>
      </w:tr>
      <w:tr w:rsidR="00C85902" w:rsidRPr="00922A13" w14:paraId="2026C7E7" w14:textId="77777777" w:rsidTr="003462E4">
        <w:trPr>
          <w:trHeight w:val="280"/>
        </w:trPr>
        <w:tc>
          <w:tcPr>
            <w:tcW w:w="4897" w:type="dxa"/>
            <w:tcBorders>
              <w:top w:val="nil"/>
              <w:left w:val="single" w:sz="4" w:space="0" w:color="auto"/>
              <w:bottom w:val="single" w:sz="4" w:space="0" w:color="auto"/>
              <w:right w:val="single" w:sz="4" w:space="0" w:color="auto"/>
            </w:tcBorders>
            <w:shd w:val="clear" w:color="000000" w:fill="F2F2F2"/>
            <w:noWrap/>
            <w:vAlign w:val="bottom"/>
            <w:hideMark/>
          </w:tcPr>
          <w:p w14:paraId="77632815" w14:textId="77777777" w:rsidR="00C85902" w:rsidRPr="00922A13" w:rsidRDefault="00C85902" w:rsidP="00922A13">
            <w:pPr>
              <w:spacing w:after="0" w:line="240" w:lineRule="auto"/>
              <w:rPr>
                <w:rFonts w:ascii="Calibri" w:eastAsia="Times New Roman" w:hAnsi="Calibri" w:cs="Calibri"/>
                <w:color w:val="000000"/>
                <w:lang w:eastAsia="de-DE"/>
              </w:rPr>
            </w:pPr>
            <w:r w:rsidRPr="00922A13">
              <w:rPr>
                <w:rFonts w:ascii="Calibri" w:eastAsia="Times New Roman" w:hAnsi="Calibri" w:cs="Calibri"/>
                <w:color w:val="000000"/>
                <w:sz w:val="22"/>
                <w:lang w:eastAsia="de-DE"/>
              </w:rPr>
              <w:t xml:space="preserve">HT1197 </w:t>
            </w:r>
            <w:r w:rsidRPr="00E202E1">
              <w:rPr>
                <w:rFonts w:eastAsia="Times New Roman" w:cs="Arial"/>
                <w:b/>
                <w:bCs/>
                <w:sz w:val="20"/>
                <w:szCs w:val="20"/>
                <w:lang w:eastAsia="de-DE"/>
              </w:rPr>
              <w:t>mit</w:t>
            </w:r>
            <w:r>
              <w:rPr>
                <w:rFonts w:eastAsia="Times New Roman" w:cs="Arial"/>
                <w:sz w:val="20"/>
                <w:szCs w:val="20"/>
                <w:lang w:eastAsia="de-DE"/>
              </w:rPr>
              <w:t xml:space="preserve"> Mykoplasmen Infektion</w:t>
            </w:r>
            <w:r w:rsidRPr="00922A13">
              <w:rPr>
                <w:rFonts w:ascii="Calibri" w:eastAsia="Times New Roman" w:hAnsi="Calibri" w:cs="Calibri"/>
                <w:color w:val="000000"/>
                <w:sz w:val="22"/>
                <w:lang w:eastAsia="de-DE"/>
              </w:rPr>
              <w:t xml:space="preserve"> 8. Woche</w:t>
            </w:r>
          </w:p>
        </w:tc>
        <w:tc>
          <w:tcPr>
            <w:tcW w:w="3611" w:type="dxa"/>
            <w:tcBorders>
              <w:top w:val="nil"/>
              <w:left w:val="nil"/>
              <w:bottom w:val="single" w:sz="4" w:space="0" w:color="auto"/>
              <w:right w:val="single" w:sz="4" w:space="0" w:color="auto"/>
            </w:tcBorders>
            <w:shd w:val="clear" w:color="000000" w:fill="F2F2F2"/>
            <w:noWrap/>
            <w:vAlign w:val="bottom"/>
            <w:hideMark/>
          </w:tcPr>
          <w:p w14:paraId="3205B613" w14:textId="77777777" w:rsidR="00C85902" w:rsidRPr="00922A13" w:rsidRDefault="00C85902" w:rsidP="003F7D41">
            <w:pPr>
              <w:keepNext/>
              <w:spacing w:after="0" w:line="240" w:lineRule="auto"/>
              <w:jc w:val="right"/>
              <w:rPr>
                <w:rFonts w:ascii="Calibri" w:eastAsia="Times New Roman" w:hAnsi="Calibri" w:cs="Calibri"/>
                <w:color w:val="000000"/>
                <w:lang w:eastAsia="de-DE"/>
              </w:rPr>
            </w:pPr>
            <w:r w:rsidRPr="00922A13">
              <w:rPr>
                <w:rFonts w:ascii="Calibri" w:eastAsia="Times New Roman" w:hAnsi="Calibri" w:cs="Calibri"/>
                <w:color w:val="000000"/>
                <w:sz w:val="22"/>
                <w:lang w:eastAsia="de-DE"/>
              </w:rPr>
              <w:t>0,0202</w:t>
            </w:r>
          </w:p>
        </w:tc>
      </w:tr>
    </w:tbl>
    <w:p w14:paraId="0ACFA9F6" w14:textId="77777777" w:rsidR="00C85902" w:rsidRDefault="00C85902" w:rsidP="003F7D41">
      <w:pPr>
        <w:pStyle w:val="Beschriftung"/>
      </w:pPr>
    </w:p>
    <w:p w14:paraId="5BB7E8F4" w14:textId="77777777" w:rsidR="00C85902" w:rsidRDefault="00C85902" w:rsidP="0062174C">
      <w:pPr>
        <w:keepNext/>
      </w:pPr>
      <w:r>
        <w:rPr>
          <w:noProof/>
        </w:rPr>
        <w:drawing>
          <wp:inline distT="0" distB="0" distL="0" distR="0" wp14:anchorId="69BCDA11" wp14:editId="0D06BA69">
            <wp:extent cx="4572000" cy="2641600"/>
            <wp:effectExtent l="0" t="0" r="0" b="0"/>
            <wp:docPr id="25" name="Diagramm 25">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70C763" w14:textId="7C6D6B46" w:rsidR="00C85902" w:rsidRPr="00A41F4D" w:rsidRDefault="00C85902" w:rsidP="00A41F4D">
      <w:pPr>
        <w:pStyle w:val="Beschriftung"/>
        <w:rPr>
          <w:vanish/>
          <w:specVanish/>
        </w:rPr>
      </w:pPr>
      <w:bookmarkStart w:id="173" w:name="_Ref84257948"/>
      <w:bookmarkStart w:id="174" w:name="_Toc120649894"/>
      <w:r>
        <w:t xml:space="preserve">Abbildung </w:t>
      </w:r>
      <w:r>
        <w:fldChar w:fldCharType="begin"/>
      </w:r>
      <w:r>
        <w:instrText xml:space="preserve"> SEQ Abbildung \* ARABIC </w:instrText>
      </w:r>
      <w:r>
        <w:fldChar w:fldCharType="separate"/>
      </w:r>
      <w:r w:rsidR="00791554">
        <w:rPr>
          <w:noProof/>
        </w:rPr>
        <w:t>17</w:t>
      </w:r>
      <w:r>
        <w:rPr>
          <w:noProof/>
        </w:rPr>
        <w:fldChar w:fldCharType="end"/>
      </w:r>
      <w:bookmarkEnd w:id="173"/>
      <w:r>
        <w:t xml:space="preserve"> Mittelwert der CD276 mRNA Expression in HT1197 Zellen mit und ohne Mykoplasmen Infektion</w:t>
      </w:r>
      <w:bookmarkEnd w:id="174"/>
      <w:r>
        <w:t xml:space="preserve"> </w:t>
      </w:r>
    </w:p>
    <w:p w14:paraId="369DE646" w14:textId="77777777" w:rsidR="00C85902" w:rsidRPr="00C531DF" w:rsidRDefault="00C85902" w:rsidP="00A41F4D">
      <w:pPr>
        <w:pStyle w:val="Beschriftung"/>
      </w:pPr>
      <w:r>
        <w:t xml:space="preserve">  Grafische Darstellung </w:t>
      </w:r>
    </w:p>
    <w:p w14:paraId="6297E5F1" w14:textId="77777777" w:rsidR="00C85902" w:rsidRDefault="00C85902" w:rsidP="00070C03">
      <w:pPr>
        <w:pStyle w:val="berschrift3"/>
      </w:pPr>
      <w:bookmarkStart w:id="175" w:name="_Toc121158682"/>
      <w:r>
        <w:t>CD276 mRNA Expression in den aus Harnleitern isolierten Zellen HL 20/31 und HL 20/32</w:t>
      </w:r>
      <w:bookmarkEnd w:id="175"/>
    </w:p>
    <w:p w14:paraId="785D3892" w14:textId="77777777" w:rsidR="00C85902" w:rsidRDefault="00C85902" w:rsidP="00E5255D">
      <w:r>
        <w:t xml:space="preserve">Wie bei den Zelllinien Cal29, T24 und HT1197 wurde auch bei den aus Präparaten gewonnen Zellen HL 20/31 und HL 20/32 der Gehalt an CD276 mRNA und den Referenzgenen GAPDH und ß-Aktin analysiert und in ein Verhältnis gesetzt. </w:t>
      </w:r>
    </w:p>
    <w:p w14:paraId="2B503A11" w14:textId="77777777" w:rsidR="00C85902" w:rsidRDefault="00C85902" w:rsidP="00C531DF">
      <w:r>
        <w:t xml:space="preserve">Die aus den Präparaten gewonnen Zellen HL 20/31 und HL 20/32 befanden sich zum Zeitpunkt der Infektion bereits in der zweiten Passage. Drei Wochen nach der Infektion erfolgte die erste RNA-Extraktion der mit Mykoplasmen infizierten und der nicht-infizierten Zellen sowie die Passage der Zellen. Nach dieser dritten Passage wurden jedoch kaum Zellen adhärent und es fanden sich zunehmend apoptotische Zellen in den Kulturflaschen, sodass aufgrund der minimalen Menge an vitalen Zellen keine erneute RNA-Extraktion zu einem späteren Zeitpunkt möglich war. Im Folgenden kann darum nur ein Vergleich, zwischen den aus einem Tumor isolierten Harnleiterzellen HL 20/32 und den aus einem tumorfreien Harnleiter isolierten Zellen HL 20/31 jeweils mit und ohne Mykoplasmen Infektion für den Zeitraum 3 von Wochen nach der Infektion erfolgen. </w:t>
      </w:r>
    </w:p>
    <w:p w14:paraId="3FD06FEC" w14:textId="293D25B5" w:rsidR="00C85902" w:rsidRPr="00E5255D" w:rsidRDefault="00C85902" w:rsidP="00E5255D">
      <w:r>
        <w:t xml:space="preserve">Beim Vergleich der tumorfreien HL 20/31 Zellen in </w:t>
      </w:r>
      <w:r>
        <w:fldChar w:fldCharType="begin"/>
      </w:r>
      <w:r>
        <w:instrText xml:space="preserve"> REF _Ref84249981 \h </w:instrText>
      </w:r>
      <w:r>
        <w:fldChar w:fldCharType="separate"/>
      </w:r>
      <w:r w:rsidR="00791554">
        <w:t xml:space="preserve">Abbildung </w:t>
      </w:r>
      <w:r w:rsidR="00791554">
        <w:rPr>
          <w:noProof/>
        </w:rPr>
        <w:t>18</w:t>
      </w:r>
      <w:r>
        <w:fldChar w:fldCharType="end"/>
      </w:r>
      <w:r>
        <w:t xml:space="preserve"> ist auffallend, dass drei Wochen nach Infektion mit Mykoplasmen die Menge an CD276 mRNA in den mit Mykoplasmen infizierten Zellen annähernd halb so groß war wie in den Mykoplasmen-freien Zellen. Die genauen Werte können in </w:t>
      </w:r>
      <w:r>
        <w:fldChar w:fldCharType="begin"/>
      </w:r>
      <w:r>
        <w:instrText xml:space="preserve"> REF _Ref120301606 \h </w:instrText>
      </w:r>
      <w:r>
        <w:fldChar w:fldCharType="separate"/>
      </w:r>
      <w:r w:rsidR="00791554">
        <w:t xml:space="preserve">Tabelle </w:t>
      </w:r>
      <w:r w:rsidR="00791554">
        <w:rPr>
          <w:noProof/>
        </w:rPr>
        <w:t>28</w:t>
      </w:r>
      <w:r>
        <w:fldChar w:fldCharType="end"/>
      </w:r>
      <w:r>
        <w:t xml:space="preserve"> eingesehen werden. </w:t>
      </w:r>
    </w:p>
    <w:p w14:paraId="3A629118" w14:textId="77777777" w:rsidR="00C85902" w:rsidRDefault="00C85902" w:rsidP="003F7D41">
      <w:pPr>
        <w:keepNext/>
      </w:pPr>
      <w:r>
        <w:rPr>
          <w:noProof/>
        </w:rPr>
        <w:drawing>
          <wp:inline distT="0" distB="0" distL="0" distR="0" wp14:anchorId="562A07C3" wp14:editId="2578B7D5">
            <wp:extent cx="4527176" cy="2809688"/>
            <wp:effectExtent l="0" t="0" r="0" b="0"/>
            <wp:docPr id="38" name="Diagramm 38">
              <a:extLst xmlns:a="http://schemas.openxmlformats.org/drawingml/2006/main">
                <a:ext uri="{FF2B5EF4-FFF2-40B4-BE49-F238E27FC236}">
                  <a16:creationId xmlns:a16="http://schemas.microsoft.com/office/drawing/2014/main" id="{290E6A32-2C10-4023-8742-C91DBA574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650FD2" w14:textId="149982F9" w:rsidR="00C85902" w:rsidRPr="00A41F4D" w:rsidRDefault="00C85902" w:rsidP="00081584">
      <w:pPr>
        <w:pStyle w:val="Beschriftung"/>
        <w:rPr>
          <w:vanish/>
          <w:specVanish/>
        </w:rPr>
      </w:pPr>
      <w:bookmarkStart w:id="176" w:name="_Ref84249981"/>
      <w:bookmarkStart w:id="177" w:name="_Toc120649895"/>
      <w:r>
        <w:t xml:space="preserve">Abbildung </w:t>
      </w:r>
      <w:r>
        <w:fldChar w:fldCharType="begin"/>
      </w:r>
      <w:r>
        <w:instrText xml:space="preserve"> SEQ Abbildung \* ARABIC </w:instrText>
      </w:r>
      <w:r>
        <w:fldChar w:fldCharType="separate"/>
      </w:r>
      <w:r w:rsidR="00791554">
        <w:rPr>
          <w:noProof/>
        </w:rPr>
        <w:t>18</w:t>
      </w:r>
      <w:r>
        <w:rPr>
          <w:noProof/>
        </w:rPr>
        <w:fldChar w:fldCharType="end"/>
      </w:r>
      <w:bookmarkEnd w:id="176"/>
      <w:r>
        <w:t xml:space="preserve"> </w:t>
      </w:r>
      <w:r w:rsidRPr="00E56BB3">
        <w:t xml:space="preserve">CD276 mRNA Expression </w:t>
      </w:r>
      <w:r>
        <w:t>in HL 20/31 Zellen</w:t>
      </w:r>
      <w:bookmarkEnd w:id="177"/>
      <w:r>
        <w:t xml:space="preserve"> </w:t>
      </w:r>
    </w:p>
    <w:p w14:paraId="2A1CDDC8" w14:textId="77777777" w:rsidR="00C85902" w:rsidRPr="00081584" w:rsidRDefault="00C85902" w:rsidP="00081584">
      <w:pPr>
        <w:pStyle w:val="Beschriftung"/>
      </w:pPr>
      <w:r>
        <w:t xml:space="preserve"> </w:t>
      </w:r>
      <w:r>
        <w:br/>
        <w:t>Grafische Darstellung der ermittelten Unterschiede in der CD276 mRNA Expression bei den Zellen HL 20/31 mit und ohne Mykoplasmeninfektion.</w:t>
      </w:r>
    </w:p>
    <w:p w14:paraId="30750A1D" w14:textId="55BE1569" w:rsidR="00C85902" w:rsidRPr="00A41F4D" w:rsidRDefault="00C85902" w:rsidP="00C531DF">
      <w:pPr>
        <w:pStyle w:val="Beschriftung"/>
        <w:keepNext/>
        <w:rPr>
          <w:vanish/>
          <w:specVanish/>
        </w:rPr>
      </w:pPr>
      <w:bookmarkStart w:id="178" w:name="_Ref120301606"/>
      <w:bookmarkStart w:id="179" w:name="_Toc120649870"/>
      <w:r>
        <w:t xml:space="preserve">Tabelle </w:t>
      </w:r>
      <w:r>
        <w:fldChar w:fldCharType="begin"/>
      </w:r>
      <w:r>
        <w:instrText xml:space="preserve"> SEQ Tabelle \* ARABIC </w:instrText>
      </w:r>
      <w:r>
        <w:fldChar w:fldCharType="separate"/>
      </w:r>
      <w:r w:rsidR="00791554">
        <w:rPr>
          <w:noProof/>
        </w:rPr>
        <w:t>28</w:t>
      </w:r>
      <w:r>
        <w:rPr>
          <w:noProof/>
        </w:rPr>
        <w:fldChar w:fldCharType="end"/>
      </w:r>
      <w:bookmarkEnd w:id="178"/>
      <w:r>
        <w:t xml:space="preserve"> </w:t>
      </w:r>
      <w:r w:rsidRPr="00552ABB">
        <w:t>Werte der CD276 mRNA Expression in HL 20/31 Zellen</w:t>
      </w:r>
      <w:bookmarkEnd w:id="179"/>
    </w:p>
    <w:p w14:paraId="1511C6D1" w14:textId="77777777" w:rsidR="00C85902" w:rsidRDefault="00C85902" w:rsidP="00C531DF">
      <w:pPr>
        <w:pStyle w:val="Beschriftung"/>
        <w:keepNext/>
      </w:pPr>
      <w:r>
        <w:br/>
        <w:t xml:space="preserve"> Übersicht der ermittelten Werte der CD276 mRNA Expression in HL 20/31 Zellen mit und ohne Mykplasmeninfektion.</w:t>
      </w:r>
    </w:p>
    <w:tbl>
      <w:tblPr>
        <w:tblW w:w="8513" w:type="dxa"/>
        <w:tblCellMar>
          <w:left w:w="70" w:type="dxa"/>
          <w:right w:w="70" w:type="dxa"/>
        </w:tblCellMar>
        <w:tblLook w:val="04A0" w:firstRow="1" w:lastRow="0" w:firstColumn="1" w:lastColumn="0" w:noHBand="0" w:noVBand="1"/>
      </w:tblPr>
      <w:tblGrid>
        <w:gridCol w:w="4393"/>
        <w:gridCol w:w="4120"/>
      </w:tblGrid>
      <w:tr w:rsidR="00C85902" w:rsidRPr="00922A13" w14:paraId="639CACC6" w14:textId="77777777" w:rsidTr="00675CB0">
        <w:trPr>
          <w:trHeight w:val="227"/>
        </w:trPr>
        <w:tc>
          <w:tcPr>
            <w:tcW w:w="43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4EFF4" w14:textId="77777777" w:rsidR="00C85902" w:rsidRPr="0046193A" w:rsidRDefault="00C85902" w:rsidP="00A41F4D">
            <w:pPr>
              <w:spacing w:after="0" w:line="240" w:lineRule="auto"/>
              <w:jc w:val="center"/>
              <w:rPr>
                <w:rFonts w:eastAsia="Times New Roman" w:cs="Arial"/>
                <w:b/>
                <w:bCs/>
                <w:color w:val="000000"/>
                <w:sz w:val="20"/>
                <w:szCs w:val="20"/>
                <w:lang w:eastAsia="de-DE"/>
              </w:rPr>
            </w:pPr>
            <w:r w:rsidRPr="0046193A">
              <w:rPr>
                <w:rFonts w:eastAsia="Times New Roman" w:cs="Arial"/>
                <w:b/>
                <w:bCs/>
                <w:color w:val="000000"/>
                <w:sz w:val="20"/>
                <w:szCs w:val="20"/>
                <w:lang w:eastAsia="de-DE"/>
              </w:rPr>
              <w:t>Zeitpunkt der Testung</w:t>
            </w:r>
          </w:p>
        </w:tc>
        <w:tc>
          <w:tcPr>
            <w:tcW w:w="4120" w:type="dxa"/>
            <w:tcBorders>
              <w:top w:val="single" w:sz="4" w:space="0" w:color="auto"/>
              <w:left w:val="nil"/>
              <w:bottom w:val="single" w:sz="4" w:space="0" w:color="auto"/>
              <w:right w:val="single" w:sz="4" w:space="0" w:color="auto"/>
            </w:tcBorders>
            <w:shd w:val="clear" w:color="000000" w:fill="F2F2F2"/>
            <w:noWrap/>
            <w:vAlign w:val="bottom"/>
            <w:hideMark/>
          </w:tcPr>
          <w:p w14:paraId="66764E09" w14:textId="77777777" w:rsidR="00C85902" w:rsidRPr="0046193A" w:rsidRDefault="00C85902" w:rsidP="00A41F4D">
            <w:pPr>
              <w:spacing w:after="0" w:line="240" w:lineRule="auto"/>
              <w:jc w:val="center"/>
              <w:rPr>
                <w:rFonts w:eastAsia="Times New Roman" w:cs="Arial"/>
                <w:b/>
                <w:bCs/>
                <w:color w:val="000000"/>
                <w:sz w:val="20"/>
                <w:szCs w:val="20"/>
                <w:lang w:eastAsia="de-DE"/>
              </w:rPr>
            </w:pPr>
            <w:r w:rsidRPr="0046193A">
              <w:rPr>
                <w:rFonts w:eastAsia="Times New Roman" w:cs="Arial"/>
                <w:b/>
                <w:bCs/>
                <w:color w:val="000000"/>
                <w:sz w:val="20"/>
                <w:szCs w:val="20"/>
                <w:lang w:eastAsia="de-DE"/>
              </w:rPr>
              <w:t>CD276 mRNA Expression in HL 20/31</w:t>
            </w:r>
          </w:p>
        </w:tc>
      </w:tr>
      <w:tr w:rsidR="00C85902" w:rsidRPr="00922A13" w14:paraId="0752E9AB" w14:textId="77777777" w:rsidTr="00675CB0">
        <w:trPr>
          <w:trHeight w:val="227"/>
        </w:trPr>
        <w:tc>
          <w:tcPr>
            <w:tcW w:w="4393" w:type="dxa"/>
            <w:tcBorders>
              <w:top w:val="nil"/>
              <w:left w:val="single" w:sz="4" w:space="0" w:color="auto"/>
              <w:bottom w:val="single" w:sz="4" w:space="0" w:color="auto"/>
              <w:right w:val="single" w:sz="4" w:space="0" w:color="auto"/>
            </w:tcBorders>
            <w:shd w:val="clear" w:color="000000" w:fill="D9D9D9"/>
            <w:noWrap/>
            <w:vAlign w:val="bottom"/>
            <w:hideMark/>
          </w:tcPr>
          <w:p w14:paraId="0C9D0B4A" w14:textId="77777777" w:rsidR="00C85902" w:rsidRPr="0046193A" w:rsidRDefault="00C85902" w:rsidP="0046193A">
            <w:pPr>
              <w:spacing w:after="0" w:line="240" w:lineRule="auto"/>
              <w:rPr>
                <w:rFonts w:eastAsia="Times New Roman" w:cs="Arial"/>
                <w:color w:val="000000"/>
                <w:sz w:val="20"/>
                <w:szCs w:val="20"/>
                <w:lang w:eastAsia="de-DE"/>
              </w:rPr>
            </w:pPr>
            <w:r w:rsidRPr="0046193A">
              <w:rPr>
                <w:rFonts w:eastAsia="Times New Roman" w:cs="Arial"/>
                <w:color w:val="000000"/>
                <w:sz w:val="20"/>
                <w:szCs w:val="20"/>
                <w:lang w:eastAsia="de-DE"/>
              </w:rPr>
              <w:t xml:space="preserve">HL 20/31 </w:t>
            </w:r>
            <w:r w:rsidRPr="0046193A">
              <w:rPr>
                <w:rFonts w:eastAsia="Times New Roman" w:cs="Arial"/>
                <w:sz w:val="20"/>
                <w:szCs w:val="20"/>
                <w:lang w:eastAsia="de-DE"/>
              </w:rPr>
              <w:t>ohne Mykoplasmen Infektion</w:t>
            </w:r>
            <w:r w:rsidRPr="0046193A">
              <w:rPr>
                <w:rFonts w:eastAsia="Times New Roman" w:cs="Arial"/>
                <w:color w:val="000000"/>
                <w:sz w:val="20"/>
                <w:szCs w:val="20"/>
                <w:lang w:eastAsia="de-DE"/>
              </w:rPr>
              <w:t xml:space="preserve"> P2</w:t>
            </w:r>
          </w:p>
        </w:tc>
        <w:tc>
          <w:tcPr>
            <w:tcW w:w="4120" w:type="dxa"/>
            <w:tcBorders>
              <w:top w:val="nil"/>
              <w:left w:val="nil"/>
              <w:bottom w:val="single" w:sz="4" w:space="0" w:color="auto"/>
              <w:right w:val="single" w:sz="4" w:space="0" w:color="auto"/>
            </w:tcBorders>
            <w:shd w:val="clear" w:color="000000" w:fill="D9D9D9"/>
            <w:noWrap/>
            <w:vAlign w:val="bottom"/>
            <w:hideMark/>
          </w:tcPr>
          <w:p w14:paraId="7FC6C3CF" w14:textId="77777777" w:rsidR="00C85902" w:rsidRPr="0046193A" w:rsidRDefault="00C85902" w:rsidP="0046193A">
            <w:pPr>
              <w:spacing w:after="0" w:line="240" w:lineRule="auto"/>
              <w:jc w:val="right"/>
              <w:rPr>
                <w:rFonts w:eastAsia="Times New Roman" w:cs="Arial"/>
                <w:color w:val="000000"/>
                <w:sz w:val="20"/>
                <w:szCs w:val="20"/>
                <w:lang w:eastAsia="de-DE"/>
              </w:rPr>
            </w:pPr>
            <w:r w:rsidRPr="0046193A">
              <w:rPr>
                <w:rFonts w:eastAsia="Times New Roman" w:cs="Arial"/>
                <w:color w:val="000000"/>
                <w:sz w:val="20"/>
                <w:szCs w:val="20"/>
                <w:lang w:eastAsia="de-DE"/>
              </w:rPr>
              <w:t>0,0226</w:t>
            </w:r>
          </w:p>
        </w:tc>
      </w:tr>
      <w:tr w:rsidR="00C85902" w:rsidRPr="00922A13" w14:paraId="7BA47580" w14:textId="77777777" w:rsidTr="00675CB0">
        <w:trPr>
          <w:trHeight w:val="227"/>
        </w:trPr>
        <w:tc>
          <w:tcPr>
            <w:tcW w:w="4393" w:type="dxa"/>
            <w:tcBorders>
              <w:top w:val="nil"/>
              <w:left w:val="single" w:sz="4" w:space="0" w:color="auto"/>
              <w:bottom w:val="single" w:sz="4" w:space="0" w:color="auto"/>
              <w:right w:val="single" w:sz="4" w:space="0" w:color="auto"/>
            </w:tcBorders>
            <w:shd w:val="clear" w:color="000000" w:fill="F2F2F2"/>
            <w:noWrap/>
            <w:vAlign w:val="bottom"/>
            <w:hideMark/>
          </w:tcPr>
          <w:p w14:paraId="12DAF634" w14:textId="77777777" w:rsidR="00C85902" w:rsidRPr="0046193A" w:rsidRDefault="00C85902" w:rsidP="0046193A">
            <w:pPr>
              <w:spacing w:after="0" w:line="240" w:lineRule="auto"/>
              <w:rPr>
                <w:rFonts w:eastAsia="Times New Roman" w:cs="Arial"/>
                <w:color w:val="000000"/>
                <w:sz w:val="20"/>
                <w:szCs w:val="20"/>
                <w:lang w:eastAsia="de-DE"/>
              </w:rPr>
            </w:pPr>
            <w:r w:rsidRPr="0046193A">
              <w:rPr>
                <w:rFonts w:eastAsia="Times New Roman" w:cs="Arial"/>
                <w:color w:val="000000"/>
                <w:sz w:val="20"/>
                <w:szCs w:val="20"/>
                <w:lang w:eastAsia="de-DE"/>
              </w:rPr>
              <w:t xml:space="preserve">HL 20/31 </w:t>
            </w:r>
            <w:r w:rsidRPr="0046193A">
              <w:rPr>
                <w:rFonts w:eastAsia="Times New Roman" w:cs="Arial"/>
                <w:sz w:val="20"/>
                <w:szCs w:val="20"/>
                <w:lang w:eastAsia="de-DE"/>
              </w:rPr>
              <w:t>mit Mykoplasmen Infektion</w:t>
            </w:r>
            <w:r w:rsidRPr="0046193A">
              <w:rPr>
                <w:rFonts w:eastAsia="Times New Roman" w:cs="Arial"/>
                <w:color w:val="000000"/>
                <w:sz w:val="20"/>
                <w:szCs w:val="20"/>
                <w:lang w:eastAsia="de-DE"/>
              </w:rPr>
              <w:t xml:space="preserve"> P2</w:t>
            </w:r>
          </w:p>
        </w:tc>
        <w:tc>
          <w:tcPr>
            <w:tcW w:w="4120" w:type="dxa"/>
            <w:tcBorders>
              <w:top w:val="nil"/>
              <w:left w:val="nil"/>
              <w:bottom w:val="single" w:sz="4" w:space="0" w:color="auto"/>
              <w:right w:val="single" w:sz="4" w:space="0" w:color="auto"/>
            </w:tcBorders>
            <w:shd w:val="clear" w:color="000000" w:fill="F2F2F2"/>
            <w:noWrap/>
            <w:vAlign w:val="bottom"/>
            <w:hideMark/>
          </w:tcPr>
          <w:p w14:paraId="7523DB64" w14:textId="77777777" w:rsidR="00C85902" w:rsidRPr="0046193A" w:rsidRDefault="00C85902" w:rsidP="0046193A">
            <w:pPr>
              <w:keepNext/>
              <w:spacing w:after="0" w:line="240" w:lineRule="auto"/>
              <w:jc w:val="right"/>
              <w:rPr>
                <w:rFonts w:eastAsia="Times New Roman" w:cs="Arial"/>
                <w:color w:val="000000"/>
                <w:sz w:val="20"/>
                <w:szCs w:val="20"/>
                <w:lang w:eastAsia="de-DE"/>
              </w:rPr>
            </w:pPr>
            <w:r w:rsidRPr="0046193A">
              <w:rPr>
                <w:rFonts w:eastAsia="Times New Roman" w:cs="Arial"/>
                <w:color w:val="000000"/>
                <w:sz w:val="20"/>
                <w:szCs w:val="20"/>
                <w:lang w:eastAsia="de-DE"/>
              </w:rPr>
              <w:t>0,00926</w:t>
            </w:r>
          </w:p>
        </w:tc>
      </w:tr>
    </w:tbl>
    <w:p w14:paraId="6F3C982C" w14:textId="77777777" w:rsidR="00C85902" w:rsidRDefault="00C85902" w:rsidP="00070C03">
      <w:pPr>
        <w:pStyle w:val="Beschriftung"/>
      </w:pPr>
    </w:p>
    <w:p w14:paraId="02A6C6C0" w14:textId="38FD08C6" w:rsidR="00C85902" w:rsidRPr="00181902" w:rsidRDefault="00C85902" w:rsidP="00181902">
      <w:r>
        <w:t>Im Vergleich dazu wiesen bei den aus einem Harnleiter mit Tumor isolierten Zellen HL 20/32 (</w:t>
      </w:r>
      <w:r>
        <w:fldChar w:fldCharType="begin"/>
      </w:r>
      <w:r>
        <w:instrText xml:space="preserve"> REF _Ref84250725 \h </w:instrText>
      </w:r>
      <w:r>
        <w:fldChar w:fldCharType="separate"/>
      </w:r>
      <w:r w:rsidR="00791554">
        <w:t xml:space="preserve">Abbildung </w:t>
      </w:r>
      <w:r w:rsidR="00791554">
        <w:rPr>
          <w:noProof/>
        </w:rPr>
        <w:t>19</w:t>
      </w:r>
      <w:r>
        <w:fldChar w:fldCharType="end"/>
      </w:r>
      <w:r>
        <w:t xml:space="preserve"> und </w:t>
      </w:r>
      <w:r>
        <w:fldChar w:fldCharType="begin"/>
      </w:r>
      <w:r>
        <w:instrText xml:space="preserve"> REF _Ref120301674 \h </w:instrText>
      </w:r>
      <w:r>
        <w:fldChar w:fldCharType="separate"/>
      </w:r>
      <w:r w:rsidR="00791554">
        <w:t xml:space="preserve">Tabelle </w:t>
      </w:r>
      <w:r w:rsidR="00791554">
        <w:rPr>
          <w:noProof/>
        </w:rPr>
        <w:t>29</w:t>
      </w:r>
      <w:r>
        <w:fldChar w:fldCharType="end"/>
      </w:r>
      <w:r>
        <w:t xml:space="preserve">) drei Wochen nach der Infektion die mit Mykplasmen-infizierten Zellen nur geringfügig mehr CD276 mRNA auf als die nicht-infizierten Zellen. Der Unterschied in der CD276 mRNA Expression kann </w:t>
      </w:r>
      <w:r>
        <w:fldChar w:fldCharType="begin"/>
      </w:r>
      <w:r>
        <w:instrText xml:space="preserve"> REF _Ref120301674 \h </w:instrText>
      </w:r>
      <w:r>
        <w:fldChar w:fldCharType="separate"/>
      </w:r>
      <w:r w:rsidR="00791554">
        <w:t xml:space="preserve">Tabelle </w:t>
      </w:r>
      <w:r w:rsidR="00791554">
        <w:rPr>
          <w:noProof/>
        </w:rPr>
        <w:t>29</w:t>
      </w:r>
      <w:r>
        <w:fldChar w:fldCharType="end"/>
      </w:r>
      <w:r>
        <w:t xml:space="preserve"> entnommen werden. Es fällt auf, dass das Verhalten der Zellen mit Tumor (HL 20/32) mit einer höheren Expression von CD276 mRNA einhergeht und somit genau gegensätzlich zu dem der tumorfreien Zellen (HL 20/31) ist. Jedoch ist beim Vergleich der Zellen auf die unterschiedliche Scala zu achten, da der Unterschied zwischen HL 20/32 mit und ohne Mykoplasmen Infektion deutlich geringer ist als der Unterschied zwischen den infizierten und nicht-Infizierten HL 20/31 Zellen. </w:t>
      </w:r>
    </w:p>
    <w:p w14:paraId="5323637A" w14:textId="77777777" w:rsidR="00C85902" w:rsidRDefault="00C85902" w:rsidP="00070C03">
      <w:pPr>
        <w:keepNext/>
      </w:pPr>
      <w:r>
        <w:rPr>
          <w:noProof/>
        </w:rPr>
        <w:drawing>
          <wp:inline distT="0" distB="0" distL="0" distR="0" wp14:anchorId="233120C0" wp14:editId="2EC22C55">
            <wp:extent cx="4549589" cy="2802216"/>
            <wp:effectExtent l="0" t="0" r="0" b="0"/>
            <wp:docPr id="40" name="Diagramm 40">
              <a:extLst xmlns:a="http://schemas.openxmlformats.org/drawingml/2006/main">
                <a:ext uri="{FF2B5EF4-FFF2-40B4-BE49-F238E27FC236}">
                  <a16:creationId xmlns:a16="http://schemas.microsoft.com/office/drawing/2014/main" id="{664EC9AD-4820-46A3-AB4E-DFC738843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AC3437" w14:textId="66326BDE" w:rsidR="00C85902" w:rsidRPr="0046193A" w:rsidRDefault="00C85902" w:rsidP="00081584">
      <w:pPr>
        <w:pStyle w:val="Beschriftung"/>
        <w:rPr>
          <w:vanish/>
          <w:specVanish/>
        </w:rPr>
      </w:pPr>
      <w:bookmarkStart w:id="180" w:name="_Ref84250725"/>
      <w:bookmarkStart w:id="181" w:name="_Toc120649896"/>
      <w:r>
        <w:t xml:space="preserve">Abbildung </w:t>
      </w:r>
      <w:r>
        <w:fldChar w:fldCharType="begin"/>
      </w:r>
      <w:r>
        <w:instrText xml:space="preserve"> SEQ Abbildung \* ARABIC </w:instrText>
      </w:r>
      <w:r>
        <w:fldChar w:fldCharType="separate"/>
      </w:r>
      <w:r w:rsidR="00791554">
        <w:rPr>
          <w:noProof/>
        </w:rPr>
        <w:t>19</w:t>
      </w:r>
      <w:r>
        <w:rPr>
          <w:noProof/>
        </w:rPr>
        <w:fldChar w:fldCharType="end"/>
      </w:r>
      <w:bookmarkEnd w:id="180"/>
      <w:r>
        <w:t xml:space="preserve"> </w:t>
      </w:r>
      <w:r w:rsidRPr="00E83DCE">
        <w:t xml:space="preserve">CD276 mRNA Expression </w:t>
      </w:r>
      <w:r>
        <w:t>in HL 20/32 Zellen</w:t>
      </w:r>
      <w:bookmarkEnd w:id="181"/>
    </w:p>
    <w:p w14:paraId="5C5BD3E2" w14:textId="77777777" w:rsidR="00C85902" w:rsidRPr="003462E4" w:rsidRDefault="00C85902" w:rsidP="00081584">
      <w:pPr>
        <w:pStyle w:val="Beschriftung"/>
      </w:pPr>
      <w:r>
        <w:t xml:space="preserve"> </w:t>
      </w:r>
      <w:r>
        <w:br/>
        <w:t>In der Abbildung ist der Unterschied in der CD276 mRNA Expression grafisch dargestellt.</w:t>
      </w:r>
    </w:p>
    <w:p w14:paraId="49DC5DE4" w14:textId="534A6F8D" w:rsidR="00C85902" w:rsidRPr="0046193A" w:rsidRDefault="00C85902" w:rsidP="00C531DF">
      <w:pPr>
        <w:pStyle w:val="Beschriftung"/>
        <w:keepNext/>
        <w:rPr>
          <w:vanish/>
          <w:specVanish/>
        </w:rPr>
      </w:pPr>
      <w:bookmarkStart w:id="182" w:name="_Ref120301674"/>
      <w:bookmarkStart w:id="183" w:name="_Toc120649871"/>
      <w:r>
        <w:t xml:space="preserve">Tabelle </w:t>
      </w:r>
      <w:r>
        <w:fldChar w:fldCharType="begin"/>
      </w:r>
      <w:r>
        <w:instrText xml:space="preserve"> SEQ Tabelle \* ARABIC </w:instrText>
      </w:r>
      <w:r>
        <w:fldChar w:fldCharType="separate"/>
      </w:r>
      <w:r w:rsidR="00791554">
        <w:rPr>
          <w:noProof/>
        </w:rPr>
        <w:t>29</w:t>
      </w:r>
      <w:r>
        <w:rPr>
          <w:noProof/>
        </w:rPr>
        <w:fldChar w:fldCharType="end"/>
      </w:r>
      <w:bookmarkEnd w:id="182"/>
      <w:r>
        <w:t xml:space="preserve"> </w:t>
      </w:r>
      <w:r w:rsidRPr="008350BC">
        <w:t>Werte der CD276 mRNA Expression in HL 20/32 Zellen</w:t>
      </w:r>
      <w:bookmarkEnd w:id="183"/>
      <w:r>
        <w:t xml:space="preserve"> </w:t>
      </w:r>
    </w:p>
    <w:p w14:paraId="260AD709" w14:textId="77777777" w:rsidR="00C85902" w:rsidRDefault="00C85902" w:rsidP="00C531DF">
      <w:pPr>
        <w:pStyle w:val="Beschriftung"/>
        <w:keepNext/>
      </w:pPr>
      <w:r>
        <w:t xml:space="preserve"> </w:t>
      </w:r>
      <w:r>
        <w:br/>
        <w:t xml:space="preserve">In der Tabelle sind die Werte der CD276 mRNA Expression in den Zellen HL 20/32 aufgeführt. Es gibt keinen großen Unterschied zwischen den infizierten und den nicht-infizierten Zellen. </w:t>
      </w:r>
    </w:p>
    <w:tbl>
      <w:tblPr>
        <w:tblW w:w="8250" w:type="dxa"/>
        <w:tblCellMar>
          <w:left w:w="70" w:type="dxa"/>
          <w:right w:w="70" w:type="dxa"/>
        </w:tblCellMar>
        <w:tblLook w:val="04A0" w:firstRow="1" w:lastRow="0" w:firstColumn="1" w:lastColumn="0" w:noHBand="0" w:noVBand="1"/>
      </w:tblPr>
      <w:tblGrid>
        <w:gridCol w:w="4383"/>
        <w:gridCol w:w="3867"/>
      </w:tblGrid>
      <w:tr w:rsidR="00C85902" w:rsidRPr="00D71620" w14:paraId="2945014A" w14:textId="77777777" w:rsidTr="0046193A">
        <w:trPr>
          <w:trHeight w:val="304"/>
        </w:trPr>
        <w:tc>
          <w:tcPr>
            <w:tcW w:w="438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83AA2" w14:textId="77777777" w:rsidR="00C85902" w:rsidRPr="00D71620" w:rsidRDefault="00C85902" w:rsidP="00A41F4D">
            <w:pPr>
              <w:spacing w:after="0" w:line="240" w:lineRule="auto"/>
              <w:jc w:val="center"/>
              <w:rPr>
                <w:rFonts w:ascii="Calibri" w:eastAsia="Times New Roman" w:hAnsi="Calibri" w:cs="Calibri"/>
                <w:b/>
                <w:bCs/>
                <w:color w:val="000000"/>
                <w:lang w:eastAsia="de-DE"/>
              </w:rPr>
            </w:pPr>
            <w:r w:rsidRPr="00D71620">
              <w:rPr>
                <w:rFonts w:ascii="Calibri" w:eastAsia="Times New Roman" w:hAnsi="Calibri" w:cs="Calibri"/>
                <w:b/>
                <w:bCs/>
                <w:color w:val="000000"/>
                <w:sz w:val="22"/>
                <w:lang w:eastAsia="de-DE"/>
              </w:rPr>
              <w:t>Zeitpunkt der Testung</w:t>
            </w:r>
          </w:p>
        </w:tc>
        <w:tc>
          <w:tcPr>
            <w:tcW w:w="3867" w:type="dxa"/>
            <w:tcBorders>
              <w:top w:val="single" w:sz="4" w:space="0" w:color="auto"/>
              <w:left w:val="nil"/>
              <w:bottom w:val="single" w:sz="4" w:space="0" w:color="auto"/>
              <w:right w:val="single" w:sz="4" w:space="0" w:color="auto"/>
            </w:tcBorders>
            <w:shd w:val="clear" w:color="000000" w:fill="F2F2F2"/>
            <w:noWrap/>
            <w:vAlign w:val="bottom"/>
            <w:hideMark/>
          </w:tcPr>
          <w:p w14:paraId="501DFB78" w14:textId="77777777" w:rsidR="00C85902" w:rsidRPr="00D71620" w:rsidRDefault="00C85902" w:rsidP="00A41F4D">
            <w:pPr>
              <w:spacing w:after="0" w:line="240" w:lineRule="auto"/>
              <w:jc w:val="center"/>
              <w:rPr>
                <w:rFonts w:ascii="Calibri" w:eastAsia="Times New Roman" w:hAnsi="Calibri" w:cs="Calibri"/>
                <w:b/>
                <w:bCs/>
                <w:color w:val="000000"/>
                <w:lang w:eastAsia="de-DE"/>
              </w:rPr>
            </w:pPr>
            <w:r w:rsidRPr="00D71620">
              <w:rPr>
                <w:rFonts w:ascii="Calibri" w:eastAsia="Times New Roman" w:hAnsi="Calibri" w:cs="Calibri"/>
                <w:b/>
                <w:bCs/>
                <w:color w:val="000000"/>
                <w:sz w:val="22"/>
                <w:lang w:eastAsia="de-DE"/>
              </w:rPr>
              <w:t>CD276 mRN</w:t>
            </w:r>
            <w:r>
              <w:rPr>
                <w:rFonts w:ascii="Calibri" w:eastAsia="Times New Roman" w:hAnsi="Calibri" w:cs="Calibri"/>
                <w:b/>
                <w:bCs/>
                <w:color w:val="000000"/>
                <w:sz w:val="22"/>
                <w:lang w:eastAsia="de-DE"/>
              </w:rPr>
              <w:t>A</w:t>
            </w:r>
            <w:r w:rsidRPr="00D71620">
              <w:rPr>
                <w:rFonts w:ascii="Calibri" w:eastAsia="Times New Roman" w:hAnsi="Calibri" w:cs="Calibri"/>
                <w:b/>
                <w:bCs/>
                <w:color w:val="000000"/>
                <w:sz w:val="22"/>
                <w:lang w:eastAsia="de-DE"/>
              </w:rPr>
              <w:t xml:space="preserve"> Expression in HL 20/32</w:t>
            </w:r>
          </w:p>
        </w:tc>
      </w:tr>
      <w:tr w:rsidR="00C85902" w:rsidRPr="00D71620" w14:paraId="60F4E140" w14:textId="77777777" w:rsidTr="0046193A">
        <w:trPr>
          <w:trHeight w:val="304"/>
        </w:trPr>
        <w:tc>
          <w:tcPr>
            <w:tcW w:w="4383" w:type="dxa"/>
            <w:tcBorders>
              <w:top w:val="nil"/>
              <w:left w:val="single" w:sz="4" w:space="0" w:color="auto"/>
              <w:bottom w:val="single" w:sz="4" w:space="0" w:color="auto"/>
              <w:right w:val="single" w:sz="4" w:space="0" w:color="auto"/>
            </w:tcBorders>
            <w:shd w:val="clear" w:color="000000" w:fill="D9D9D9"/>
            <w:noWrap/>
            <w:vAlign w:val="bottom"/>
            <w:hideMark/>
          </w:tcPr>
          <w:p w14:paraId="574F2D6D" w14:textId="77777777" w:rsidR="00C85902" w:rsidRPr="00D71620" w:rsidRDefault="00C85902" w:rsidP="00D71620">
            <w:pPr>
              <w:spacing w:after="0" w:line="240" w:lineRule="auto"/>
              <w:rPr>
                <w:rFonts w:ascii="Calibri" w:eastAsia="Times New Roman" w:hAnsi="Calibri" w:cs="Calibri"/>
                <w:color w:val="000000"/>
                <w:lang w:eastAsia="de-DE"/>
              </w:rPr>
            </w:pPr>
            <w:r w:rsidRPr="00D71620">
              <w:rPr>
                <w:rFonts w:ascii="Calibri" w:eastAsia="Times New Roman" w:hAnsi="Calibri" w:cs="Calibri"/>
                <w:color w:val="000000"/>
                <w:sz w:val="22"/>
                <w:lang w:eastAsia="de-DE"/>
              </w:rPr>
              <w:t xml:space="preserve">HL20/32 </w:t>
            </w:r>
            <w:r>
              <w:rPr>
                <w:rFonts w:eastAsia="Times New Roman" w:cs="Arial"/>
                <w:sz w:val="20"/>
                <w:szCs w:val="20"/>
                <w:lang w:eastAsia="de-DE"/>
              </w:rPr>
              <w:t xml:space="preserve">ohne </w:t>
            </w:r>
            <w:r w:rsidRPr="00CB3D61">
              <w:rPr>
                <w:rFonts w:eastAsia="Times New Roman" w:cs="Arial"/>
                <w:sz w:val="20"/>
                <w:szCs w:val="20"/>
                <w:lang w:eastAsia="de-DE"/>
              </w:rPr>
              <w:t>M</w:t>
            </w:r>
            <w:r>
              <w:rPr>
                <w:rFonts w:eastAsia="Times New Roman" w:cs="Arial"/>
                <w:sz w:val="20"/>
                <w:szCs w:val="20"/>
                <w:lang w:eastAsia="de-DE"/>
              </w:rPr>
              <w:t>ykoplasmen Infektion</w:t>
            </w:r>
            <w:r w:rsidRPr="00D71620">
              <w:rPr>
                <w:rFonts w:ascii="Calibri" w:eastAsia="Times New Roman" w:hAnsi="Calibri" w:cs="Calibri"/>
                <w:color w:val="000000"/>
                <w:sz w:val="22"/>
                <w:lang w:eastAsia="de-DE"/>
              </w:rPr>
              <w:t xml:space="preserve"> P2</w:t>
            </w:r>
          </w:p>
        </w:tc>
        <w:tc>
          <w:tcPr>
            <w:tcW w:w="3867" w:type="dxa"/>
            <w:tcBorders>
              <w:top w:val="nil"/>
              <w:left w:val="nil"/>
              <w:bottom w:val="single" w:sz="4" w:space="0" w:color="auto"/>
              <w:right w:val="single" w:sz="4" w:space="0" w:color="auto"/>
            </w:tcBorders>
            <w:shd w:val="clear" w:color="000000" w:fill="D9D9D9"/>
            <w:noWrap/>
            <w:vAlign w:val="bottom"/>
            <w:hideMark/>
          </w:tcPr>
          <w:p w14:paraId="138E9B9F" w14:textId="77777777" w:rsidR="00C85902" w:rsidRPr="00D71620" w:rsidRDefault="00C85902" w:rsidP="00D71620">
            <w:pPr>
              <w:spacing w:after="0" w:line="240" w:lineRule="auto"/>
              <w:jc w:val="right"/>
              <w:rPr>
                <w:rFonts w:ascii="Calibri" w:eastAsia="Times New Roman" w:hAnsi="Calibri" w:cs="Calibri"/>
                <w:color w:val="000000"/>
                <w:lang w:eastAsia="de-DE"/>
              </w:rPr>
            </w:pPr>
            <w:r w:rsidRPr="00D71620">
              <w:rPr>
                <w:rFonts w:ascii="Calibri" w:eastAsia="Times New Roman" w:hAnsi="Calibri" w:cs="Calibri"/>
                <w:color w:val="000000"/>
                <w:sz w:val="22"/>
                <w:lang w:eastAsia="de-DE"/>
              </w:rPr>
              <w:t>0,016</w:t>
            </w:r>
            <w:r>
              <w:rPr>
                <w:rFonts w:ascii="Calibri" w:eastAsia="Times New Roman" w:hAnsi="Calibri" w:cs="Calibri"/>
                <w:color w:val="000000"/>
                <w:sz w:val="22"/>
                <w:lang w:eastAsia="de-DE"/>
              </w:rPr>
              <w:t>3</w:t>
            </w:r>
          </w:p>
        </w:tc>
      </w:tr>
      <w:tr w:rsidR="00C85902" w:rsidRPr="00D71620" w14:paraId="576E2099" w14:textId="77777777" w:rsidTr="0046193A">
        <w:trPr>
          <w:trHeight w:val="304"/>
        </w:trPr>
        <w:tc>
          <w:tcPr>
            <w:tcW w:w="4383" w:type="dxa"/>
            <w:tcBorders>
              <w:top w:val="nil"/>
              <w:left w:val="single" w:sz="4" w:space="0" w:color="auto"/>
              <w:bottom w:val="single" w:sz="4" w:space="0" w:color="auto"/>
              <w:right w:val="single" w:sz="4" w:space="0" w:color="auto"/>
            </w:tcBorders>
            <w:shd w:val="clear" w:color="000000" w:fill="F2F2F2"/>
            <w:noWrap/>
            <w:vAlign w:val="bottom"/>
            <w:hideMark/>
          </w:tcPr>
          <w:p w14:paraId="2D7240D3" w14:textId="77777777" w:rsidR="00C85902" w:rsidRPr="00D71620" w:rsidRDefault="00C85902" w:rsidP="00D71620">
            <w:pPr>
              <w:spacing w:after="0" w:line="240" w:lineRule="auto"/>
              <w:rPr>
                <w:rFonts w:ascii="Calibri" w:eastAsia="Times New Roman" w:hAnsi="Calibri" w:cs="Calibri"/>
                <w:color w:val="000000"/>
                <w:lang w:eastAsia="de-DE"/>
              </w:rPr>
            </w:pPr>
            <w:r w:rsidRPr="00D71620">
              <w:rPr>
                <w:rFonts w:ascii="Calibri" w:eastAsia="Times New Roman" w:hAnsi="Calibri" w:cs="Calibri"/>
                <w:color w:val="000000"/>
                <w:sz w:val="22"/>
                <w:lang w:eastAsia="de-DE"/>
              </w:rPr>
              <w:t xml:space="preserve">HL20/32 </w:t>
            </w:r>
            <w:r>
              <w:rPr>
                <w:rFonts w:eastAsia="Times New Roman" w:cs="Arial"/>
                <w:sz w:val="20"/>
                <w:szCs w:val="20"/>
                <w:lang w:eastAsia="de-DE"/>
              </w:rPr>
              <w:t>mit Mykoplasmen Infektion</w:t>
            </w:r>
            <w:r w:rsidRPr="00D71620">
              <w:rPr>
                <w:rFonts w:ascii="Calibri" w:eastAsia="Times New Roman" w:hAnsi="Calibri" w:cs="Calibri"/>
                <w:color w:val="000000"/>
                <w:sz w:val="22"/>
                <w:lang w:eastAsia="de-DE"/>
              </w:rPr>
              <w:t xml:space="preserve"> P2 </w:t>
            </w:r>
          </w:p>
        </w:tc>
        <w:tc>
          <w:tcPr>
            <w:tcW w:w="3867" w:type="dxa"/>
            <w:tcBorders>
              <w:top w:val="nil"/>
              <w:left w:val="nil"/>
              <w:bottom w:val="single" w:sz="4" w:space="0" w:color="auto"/>
              <w:right w:val="single" w:sz="4" w:space="0" w:color="auto"/>
            </w:tcBorders>
            <w:shd w:val="clear" w:color="000000" w:fill="F2F2F2"/>
            <w:noWrap/>
            <w:vAlign w:val="bottom"/>
            <w:hideMark/>
          </w:tcPr>
          <w:p w14:paraId="132D99B3" w14:textId="77777777" w:rsidR="00C85902" w:rsidRPr="00D71620" w:rsidRDefault="00C85902" w:rsidP="00070C03">
            <w:pPr>
              <w:keepNext/>
              <w:spacing w:after="0" w:line="240" w:lineRule="auto"/>
              <w:jc w:val="right"/>
              <w:rPr>
                <w:rFonts w:ascii="Calibri" w:eastAsia="Times New Roman" w:hAnsi="Calibri" w:cs="Calibri"/>
                <w:color w:val="000000"/>
                <w:lang w:eastAsia="de-DE"/>
              </w:rPr>
            </w:pPr>
            <w:r w:rsidRPr="00D71620">
              <w:rPr>
                <w:rFonts w:ascii="Calibri" w:eastAsia="Times New Roman" w:hAnsi="Calibri" w:cs="Calibri"/>
                <w:color w:val="000000"/>
                <w:sz w:val="22"/>
                <w:lang w:eastAsia="de-DE"/>
              </w:rPr>
              <w:t>0,017</w:t>
            </w:r>
          </w:p>
        </w:tc>
      </w:tr>
    </w:tbl>
    <w:p w14:paraId="36E56CBE" w14:textId="77777777" w:rsidR="00C85902" w:rsidRDefault="00C85902" w:rsidP="00070C03">
      <w:pPr>
        <w:pStyle w:val="Beschriftung"/>
      </w:pPr>
    </w:p>
    <w:p w14:paraId="1A8982BA" w14:textId="77777777" w:rsidR="00C85902" w:rsidRDefault="00C85902" w:rsidP="00834B6D">
      <w:pPr>
        <w:pStyle w:val="berschrift2"/>
      </w:pPr>
      <w:bookmarkStart w:id="184" w:name="_Toc121158683"/>
      <w:r>
        <w:t>Expression von CD276 auf Proteinebene bei nicht-infizierten sowie mit Mykoplasmen infizierten Zellen</w:t>
      </w:r>
      <w:bookmarkEnd w:id="184"/>
    </w:p>
    <w:p w14:paraId="2868DAE9" w14:textId="77777777" w:rsidR="00C85902" w:rsidRDefault="00C85902" w:rsidP="00231FE7">
      <w:r>
        <w:t xml:space="preserve">Mittels SDS-PAGE und einem quantitativen Western Blot wurde die Menge an CD276 Protein für die Zelllinien Cal29, T24 und HT1197 sowie den HL 20/31 ermittelt. </w:t>
      </w:r>
    </w:p>
    <w:p w14:paraId="59A2DF1B" w14:textId="38557511" w:rsidR="00C85902" w:rsidRDefault="00C85902" w:rsidP="00231FE7">
      <w:r>
        <w:t xml:space="preserve">Die Zelllinie Cal29 hatte optisch, abgesehen von der Probe der nicht-infizierten Zellen, nach der ersten Woche annähernd die gleiche Menge an CD276 Protein, sowohl in den infizierten als auch in den nicht-infizierten Zellen. Die Pigmentdichte der ß-Aktin Bande von Cal29 war jedoch in allen Proben der infizierten als auch der nicht-infizierten Cal29 Zellen deutlich stärker als die Bande des CD276 Proteins. Beim Vergleich des Gehalts an CD276 Protein in den Zelllinien Cal29 und T24 in </w:t>
      </w:r>
      <w:r>
        <w:fldChar w:fldCharType="begin"/>
      </w:r>
      <w:r>
        <w:instrText xml:space="preserve"> REF _Ref84408359 \h </w:instrText>
      </w:r>
      <w:r>
        <w:fldChar w:fldCharType="separate"/>
      </w:r>
      <w:r w:rsidR="00791554">
        <w:t xml:space="preserve">Abbildung </w:t>
      </w:r>
      <w:r w:rsidR="00791554">
        <w:rPr>
          <w:noProof/>
        </w:rPr>
        <w:t>20</w:t>
      </w:r>
      <w:r>
        <w:fldChar w:fldCharType="end"/>
      </w:r>
      <w:r>
        <w:t xml:space="preserve">, fiel auf, dass in T24 deutlich weniger CD276 Protein vorhanden war. Auch die Bande des Housekeeping Protein ß-Aktin war in T24 deutlich schwächer ausgeprägt als bei Cal29. Bei den nicht-infizierten T24 Zellen war optisch sowohl mehr CD276 Protein als auch ß-Aktin vorhanden als bei den infizierten T24 Zellen. Dies bestätigte sich bei der Messung der Pigment Dichte in </w:t>
      </w:r>
      <w:r>
        <w:fldChar w:fldCharType="begin"/>
      </w:r>
      <w:r>
        <w:instrText xml:space="preserve"> REF _Ref84408562 \h </w:instrText>
      </w:r>
      <w:r>
        <w:fldChar w:fldCharType="separate"/>
      </w:r>
      <w:r w:rsidR="00791554">
        <w:t xml:space="preserve">Abbildung </w:t>
      </w:r>
      <w:r w:rsidR="00791554">
        <w:rPr>
          <w:noProof/>
        </w:rPr>
        <w:t>21</w:t>
      </w:r>
      <w:r>
        <w:fldChar w:fldCharType="end"/>
      </w:r>
      <w:r>
        <w:t xml:space="preserve">. </w:t>
      </w:r>
    </w:p>
    <w:p w14:paraId="5855ED11" w14:textId="77777777" w:rsidR="00C85902" w:rsidRDefault="00C85902" w:rsidP="00F3301F">
      <w:r>
        <w:rPr>
          <w:noProof/>
        </w:rPr>
        <w:drawing>
          <wp:inline distT="0" distB="0" distL="0" distR="0" wp14:anchorId="6A2B96C3" wp14:editId="2543A789">
            <wp:extent cx="5400040" cy="303784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2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3749258" w14:textId="10BE5F5A" w:rsidR="00C85902" w:rsidRPr="00A41F4D" w:rsidRDefault="00C85902" w:rsidP="00073972">
      <w:pPr>
        <w:pStyle w:val="Beschriftung"/>
        <w:rPr>
          <w:vanish/>
          <w:specVanish/>
        </w:rPr>
      </w:pPr>
      <w:bookmarkStart w:id="185" w:name="_Ref84408359"/>
      <w:bookmarkStart w:id="186" w:name="_Toc120649897"/>
      <w:r>
        <w:t xml:space="preserve">Abbildung </w:t>
      </w:r>
      <w:r>
        <w:fldChar w:fldCharType="begin"/>
      </w:r>
      <w:r>
        <w:instrText xml:space="preserve"> SEQ Abbildung \* ARABIC </w:instrText>
      </w:r>
      <w:r>
        <w:fldChar w:fldCharType="separate"/>
      </w:r>
      <w:r w:rsidR="00791554">
        <w:rPr>
          <w:noProof/>
        </w:rPr>
        <w:t>20</w:t>
      </w:r>
      <w:r>
        <w:rPr>
          <w:noProof/>
        </w:rPr>
        <w:fldChar w:fldCharType="end"/>
      </w:r>
      <w:bookmarkEnd w:id="185"/>
      <w:r>
        <w:t xml:space="preserve"> Ergebnisse CD276 und ß-Aktin Antikörper Färbung Western Blot für Cal29 und T24</w:t>
      </w:r>
      <w:bookmarkEnd w:id="186"/>
      <w:r>
        <w:t xml:space="preserve"> </w:t>
      </w:r>
    </w:p>
    <w:p w14:paraId="5A1F2CC2" w14:textId="77777777" w:rsidR="00C85902" w:rsidRDefault="00C85902" w:rsidP="00073972">
      <w:pPr>
        <w:pStyle w:val="Beschriftung"/>
      </w:pPr>
      <w:r>
        <w:t xml:space="preserve"> </w:t>
      </w:r>
      <w:r>
        <w:br/>
        <w:t xml:space="preserve">In der Abbildung ist das Ergebnis der LI-COR ® Messung der Western Blot Färbung mit dem CD276 Antikörper (links) und dem ß-Aktin Antikörper (rechts) für die Zellen der Zelllinien Cal29 und T24 zu sehen. Hierbei wird zwischen den mit Mykoplasmen infizierten Zellen und den nicht-infizierten Zellen unterschieden und außerdem zwischen der ersten und der vierten Passage. </w:t>
      </w:r>
    </w:p>
    <w:p w14:paraId="7904F2CD" w14:textId="77777777" w:rsidR="00C85902" w:rsidRDefault="00C85902" w:rsidP="00D87C5A">
      <w:pPr>
        <w:keepNext/>
      </w:pPr>
      <w:r>
        <w:rPr>
          <w:noProof/>
        </w:rPr>
        <w:drawing>
          <wp:inline distT="0" distB="0" distL="0" distR="0" wp14:anchorId="2F7EED71" wp14:editId="3367C425">
            <wp:extent cx="5400040" cy="303784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3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DE3AAFE" w14:textId="29111EA4" w:rsidR="00C85902" w:rsidRPr="00EE7681" w:rsidRDefault="00C85902" w:rsidP="00D87C5A">
      <w:pPr>
        <w:pStyle w:val="Beschriftung"/>
        <w:rPr>
          <w:vanish/>
          <w:specVanish/>
        </w:rPr>
      </w:pPr>
      <w:bookmarkStart w:id="187" w:name="_Ref84408562"/>
      <w:bookmarkStart w:id="188" w:name="_Toc120649898"/>
      <w:r>
        <w:t xml:space="preserve">Abbildung </w:t>
      </w:r>
      <w:r>
        <w:fldChar w:fldCharType="begin"/>
      </w:r>
      <w:r>
        <w:instrText xml:space="preserve"> SEQ Abbildung \* ARABIC </w:instrText>
      </w:r>
      <w:r>
        <w:fldChar w:fldCharType="separate"/>
      </w:r>
      <w:r w:rsidR="00791554">
        <w:rPr>
          <w:noProof/>
        </w:rPr>
        <w:t>21</w:t>
      </w:r>
      <w:r>
        <w:rPr>
          <w:noProof/>
        </w:rPr>
        <w:fldChar w:fldCharType="end"/>
      </w:r>
      <w:bookmarkEnd w:id="187"/>
      <w:r>
        <w:t xml:space="preserve"> Genormter Messbereich der CD276 und ß-Aktin Banden bei Cal29 und T24</w:t>
      </w:r>
      <w:bookmarkEnd w:id="188"/>
      <w:r>
        <w:t xml:space="preserve"> </w:t>
      </w:r>
    </w:p>
    <w:p w14:paraId="3223AA51" w14:textId="77777777" w:rsidR="00C85902" w:rsidRPr="00DC4360" w:rsidRDefault="00C85902" w:rsidP="00D87C5A">
      <w:pPr>
        <w:pStyle w:val="Beschriftung"/>
      </w:pPr>
      <w:r>
        <w:t xml:space="preserve"> </w:t>
      </w:r>
      <w:r>
        <w:br/>
        <w:t xml:space="preserve">In der Abbildung ist das Ergebnis der LI-COR ® Messung der Western Blot Färbung mit dem CD276 Antikörper (links) und dem ß-Aktin Antikörper (rechts) für die Zellen der Zelllinien Cal29 und T24 jeweils nach der ersten und nach der vierten Passage zu sehen. Hierbei wird zwischen den mit Mykoplasmen infizierten Zellen und den nicht-infizierten Zellen unterschieden. Es handelt sich um das gleiche Bild wie in Abbildung 22 jedoch wurde in dieser Abbildung zusätzlich ein standardisierter Messbereich für die Messung der Pigmentdichte in den Banden eingezeichnet. </w:t>
      </w:r>
    </w:p>
    <w:p w14:paraId="1D49A950" w14:textId="77777777" w:rsidR="00C85902" w:rsidRDefault="00C85902" w:rsidP="00073972">
      <w:r>
        <w:t>Auf der zweiten Membran befanden sich die Proben der Zelllinie HT1197 und die aus einem tumorfreien Harnleiter isolierten Zellen HL 20/31. Die Proben der Zellen, die aus einem Harnleiter mit Tumor isoliert wurden (HL 20/32), wiesen bei der Proteinbestimmung einen zu geringen Wert auf, um sie für den Western Blot zu nutzen und wurden deshalb nicht für den Western Blot verwendet. Die Banden des CD276 Proteins waren sowohl in der mit Mykoplasmen infizierten als auch in den Mykoplasmen-freien Probe des Harnleiters etwas schwächer als die Banden in HT1197.</w:t>
      </w:r>
    </w:p>
    <w:p w14:paraId="2DF12B45" w14:textId="373F4851" w:rsidR="00C85902" w:rsidRPr="00073972" w:rsidRDefault="00C85902" w:rsidP="00073972">
      <w:r>
        <w:t xml:space="preserve">In den HT1197 Zellen ohne Mykoplasmen Infektion ließ sich nach der ersten Passage eine etwas schwächere Bande des CD276 Proteins darstellen. Die Banden der vierten Woche ohne Infektion und der beiden Proben von HT1197 mit Mykoplasmen Infektion zeigen eine ähnlich starke Bande (siehe </w:t>
      </w:r>
      <w:r>
        <w:fldChar w:fldCharType="begin"/>
      </w:r>
      <w:r>
        <w:instrText xml:space="preserve"> REF _Ref84415033 \h </w:instrText>
      </w:r>
      <w:r>
        <w:fldChar w:fldCharType="separate"/>
      </w:r>
      <w:r w:rsidR="00791554">
        <w:t xml:space="preserve">Abbildung </w:t>
      </w:r>
      <w:r w:rsidR="00791554">
        <w:rPr>
          <w:noProof/>
        </w:rPr>
        <w:t>22</w:t>
      </w:r>
      <w:r>
        <w:fldChar w:fldCharType="end"/>
      </w:r>
      <w:r>
        <w:t xml:space="preserve">). Bei der Darstellung des ß-Aktins ließ sich optisch kein herausstechender Unterschied zwischen der Stärke der Banden feststellen. Auch hier wurde die Pigmentdichte in einem genormten Bereich (siehe </w:t>
      </w:r>
      <w:r>
        <w:fldChar w:fldCharType="begin"/>
      </w:r>
      <w:r>
        <w:instrText xml:space="preserve"> REF _Ref84409078 \h </w:instrText>
      </w:r>
      <w:r>
        <w:fldChar w:fldCharType="separate"/>
      </w:r>
      <w:r w:rsidR="00791554">
        <w:t xml:space="preserve">Abbildung </w:t>
      </w:r>
      <w:r w:rsidR="00791554">
        <w:rPr>
          <w:noProof/>
        </w:rPr>
        <w:t>23</w:t>
      </w:r>
      <w:r>
        <w:fldChar w:fldCharType="end"/>
      </w:r>
      <w:r>
        <w:t xml:space="preserve">) gemessen. </w:t>
      </w:r>
    </w:p>
    <w:p w14:paraId="1815BB4E" w14:textId="77777777" w:rsidR="00C85902" w:rsidRDefault="00C85902" w:rsidP="00073972">
      <w:pPr>
        <w:keepNext/>
      </w:pPr>
      <w:r>
        <w:rPr>
          <w:noProof/>
        </w:rPr>
        <w:drawing>
          <wp:inline distT="0" distB="0" distL="0" distR="0" wp14:anchorId="2EDC8CD8" wp14:editId="5E14064B">
            <wp:extent cx="5400040" cy="3037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31">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14BF4C85" w14:textId="36D6FC1F" w:rsidR="00C85902" w:rsidRPr="00EE7681" w:rsidRDefault="00C85902" w:rsidP="002A3082">
      <w:pPr>
        <w:pStyle w:val="Beschriftung"/>
        <w:rPr>
          <w:vanish/>
          <w:specVanish/>
        </w:rPr>
      </w:pPr>
      <w:bookmarkStart w:id="189" w:name="_Ref84415033"/>
      <w:bookmarkStart w:id="190" w:name="_Toc120649899"/>
      <w:r>
        <w:t xml:space="preserve">Abbildung </w:t>
      </w:r>
      <w:r>
        <w:fldChar w:fldCharType="begin"/>
      </w:r>
      <w:r>
        <w:instrText xml:space="preserve"> SEQ Abbildung \* ARABIC </w:instrText>
      </w:r>
      <w:r>
        <w:fldChar w:fldCharType="separate"/>
      </w:r>
      <w:r w:rsidR="00791554">
        <w:rPr>
          <w:noProof/>
        </w:rPr>
        <w:t>22</w:t>
      </w:r>
      <w:r>
        <w:rPr>
          <w:noProof/>
        </w:rPr>
        <w:fldChar w:fldCharType="end"/>
      </w:r>
      <w:bookmarkEnd w:id="189"/>
      <w:r>
        <w:t xml:space="preserve"> Western Blot HT1197 und HL 20/31</w:t>
      </w:r>
      <w:bookmarkEnd w:id="190"/>
    </w:p>
    <w:p w14:paraId="09E7521A" w14:textId="77777777" w:rsidR="00C85902" w:rsidRDefault="00C85902" w:rsidP="002A3082">
      <w:pPr>
        <w:pStyle w:val="Beschriftung"/>
      </w:pPr>
      <w:r>
        <w:br/>
        <w:t xml:space="preserve">In der Abbildung ist das Ergebnis der LI-COR ® Messung der Western Blot Färbung mit dem CD276 Antikörper (links) und dem ß-Aktin Antikörper (rechts) für die Zellen der Zelllinie HT1197 und die aus dem OP-Präparat isolierten Zellen HL 20/31 zu sehen. Hierbei wird zwischen den mit Mykoplasmen infizierten Zellen und den nicht-infizierten Zellen unterschieden. Bei HT1197 ist außerdem der Unterschied zwischen der ersten und der vierten Passage erfasst während bei den Zellen von HL 20/31 nur eine Probe nach der zweiten Passage erfasst wurde. </w:t>
      </w:r>
    </w:p>
    <w:p w14:paraId="0A456360" w14:textId="77777777" w:rsidR="00C85902" w:rsidRDefault="00C85902" w:rsidP="00D87C5A">
      <w:pPr>
        <w:keepNext/>
      </w:pPr>
      <w:r>
        <w:rPr>
          <w:noProof/>
        </w:rPr>
        <w:drawing>
          <wp:inline distT="0" distB="0" distL="0" distR="0" wp14:anchorId="4142648E" wp14:editId="2B187859">
            <wp:extent cx="5400040" cy="303784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3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30208A2" w14:textId="43325909" w:rsidR="00C85902" w:rsidRPr="0046193A" w:rsidRDefault="00C85902" w:rsidP="00D87C5A">
      <w:pPr>
        <w:pStyle w:val="Beschriftung"/>
        <w:rPr>
          <w:vanish/>
          <w:specVanish/>
        </w:rPr>
      </w:pPr>
      <w:bookmarkStart w:id="191" w:name="_Ref84409078"/>
      <w:bookmarkStart w:id="192" w:name="_Ref84409056"/>
      <w:bookmarkStart w:id="193" w:name="_Toc120649900"/>
      <w:r>
        <w:t xml:space="preserve">Abbildung </w:t>
      </w:r>
      <w:r>
        <w:fldChar w:fldCharType="begin"/>
      </w:r>
      <w:r>
        <w:instrText xml:space="preserve"> SEQ Abbildung \* ARABIC </w:instrText>
      </w:r>
      <w:r>
        <w:fldChar w:fldCharType="separate"/>
      </w:r>
      <w:r w:rsidR="00791554">
        <w:rPr>
          <w:noProof/>
        </w:rPr>
        <w:t>23</w:t>
      </w:r>
      <w:r>
        <w:rPr>
          <w:noProof/>
        </w:rPr>
        <w:fldChar w:fldCharType="end"/>
      </w:r>
      <w:bookmarkEnd w:id="191"/>
      <w:r>
        <w:t xml:space="preserve"> genormter </w:t>
      </w:r>
      <w:r w:rsidRPr="008B6FBA">
        <w:t>Messbereich der CD276 und ß-A</w:t>
      </w:r>
      <w:r>
        <w:t>k</w:t>
      </w:r>
      <w:r w:rsidRPr="008B6FBA">
        <w:t>tin Banden</w:t>
      </w:r>
      <w:bookmarkEnd w:id="192"/>
      <w:r>
        <w:t xml:space="preserve"> bei HT1197 und HL 20/31</w:t>
      </w:r>
      <w:bookmarkEnd w:id="193"/>
      <w:r>
        <w:t xml:space="preserve"> </w:t>
      </w:r>
    </w:p>
    <w:p w14:paraId="2011EF84" w14:textId="77777777" w:rsidR="00C85902" w:rsidRDefault="00C85902" w:rsidP="00D87C5A">
      <w:pPr>
        <w:pStyle w:val="Beschriftung"/>
      </w:pPr>
      <w:r>
        <w:t xml:space="preserve"> </w:t>
      </w:r>
      <w:r>
        <w:br/>
        <w:t xml:space="preserve">In der Abbildung ist das Ergebnis der LI-COR ® Messung der Western Blot Färbung mit dem CD276 Antikörper (links) und dem ß-Aktin Antikörper (rechts) für die Zellen der Zelllinie HT1197 und die aus dem OP-Präparat isolierten Zellen HL 20/31 zu sehen. Hierbei wird zwischen den mit Mykoplasmen infizierten Zellen und den nicht-infizierten Zellen unterschieden. Es handelt sich um das gleiche Bild wie in Abbildung 22 jedoch wurde in dieser Abbildung zusätzlich ein standardisierter Messbereich für die Messung der Pigmentdichte in den Banden eingezeichnet. </w:t>
      </w:r>
    </w:p>
    <w:p w14:paraId="6B1E6B6C" w14:textId="2A29176C" w:rsidR="00C85902" w:rsidRDefault="00C85902" w:rsidP="00BC4F51">
      <w:r>
        <w:t>Mittels LI-COR</w:t>
      </w:r>
      <w:r>
        <w:rPr>
          <w:vertAlign w:val="superscript"/>
        </w:rPr>
        <w:t>®</w:t>
      </w:r>
      <w:r>
        <w:t xml:space="preserve"> ImageStudio™ Lite Software wurde in einem immer gleich großen Messbereich die Pigmentdichte der Banden gemessen (siehe </w:t>
      </w:r>
      <w:r>
        <w:fldChar w:fldCharType="begin"/>
      </w:r>
      <w:r>
        <w:instrText xml:space="preserve"> REF _Ref84408562 \h </w:instrText>
      </w:r>
      <w:r>
        <w:fldChar w:fldCharType="separate"/>
      </w:r>
      <w:r w:rsidR="00791554">
        <w:t xml:space="preserve">Abbildung </w:t>
      </w:r>
      <w:r w:rsidR="00791554">
        <w:rPr>
          <w:noProof/>
        </w:rPr>
        <w:t>21</w:t>
      </w:r>
      <w:r>
        <w:fldChar w:fldCharType="end"/>
      </w:r>
      <w:r>
        <w:t xml:space="preserve">,  </w:t>
      </w:r>
      <w:r>
        <w:fldChar w:fldCharType="begin"/>
      </w:r>
      <w:r>
        <w:instrText xml:space="preserve"> REF _Ref84415033 \h </w:instrText>
      </w:r>
      <w:r>
        <w:fldChar w:fldCharType="separate"/>
      </w:r>
      <w:r w:rsidR="00791554">
        <w:t xml:space="preserve">Abbildung </w:t>
      </w:r>
      <w:r w:rsidR="00791554">
        <w:rPr>
          <w:noProof/>
        </w:rPr>
        <w:t>22</w:t>
      </w:r>
      <w:r>
        <w:fldChar w:fldCharType="end"/>
      </w:r>
      <w:r>
        <w:t xml:space="preserve"> und </w:t>
      </w:r>
      <w:r>
        <w:fldChar w:fldCharType="begin"/>
      </w:r>
      <w:r>
        <w:instrText xml:space="preserve"> REF _Ref84409078 \h </w:instrText>
      </w:r>
      <w:r>
        <w:fldChar w:fldCharType="separate"/>
      </w:r>
      <w:r w:rsidR="00791554">
        <w:t xml:space="preserve">Abbildung </w:t>
      </w:r>
      <w:r w:rsidR="00791554">
        <w:rPr>
          <w:noProof/>
        </w:rPr>
        <w:t>23</w:t>
      </w:r>
      <w:r>
        <w:fldChar w:fldCharType="end"/>
      </w:r>
      <w:r>
        <w:t xml:space="preserve">). So konnte die errechnete Menge an CD276 in ein Verhältnis zu der errechneten Menge an ß-Aktin derselben Probe gesetzt werden und ein Quotient ermittelt werden (siehe </w:t>
      </w:r>
      <w:r>
        <w:fldChar w:fldCharType="begin"/>
      </w:r>
      <w:r>
        <w:instrText xml:space="preserve"> REF _Ref103086536 \h </w:instrText>
      </w:r>
      <w:r>
        <w:fldChar w:fldCharType="separate"/>
      </w:r>
      <w:r w:rsidR="00791554">
        <w:t xml:space="preserve">Tabelle </w:t>
      </w:r>
      <w:r w:rsidR="00791554">
        <w:rPr>
          <w:noProof/>
        </w:rPr>
        <w:t>30</w:t>
      </w:r>
      <w:r>
        <w:fldChar w:fldCharType="end"/>
      </w:r>
      <w:r>
        <w:t xml:space="preserve">). Bei der grafischen Darstellung dieser Quotienten (siehe </w:t>
      </w:r>
      <w:r>
        <w:fldChar w:fldCharType="begin"/>
      </w:r>
      <w:r>
        <w:instrText xml:space="preserve"> REF _Ref84409102 \h </w:instrText>
      </w:r>
      <w:r>
        <w:fldChar w:fldCharType="separate"/>
      </w:r>
      <w:r w:rsidR="00791554">
        <w:t xml:space="preserve">Abbildung </w:t>
      </w:r>
      <w:r w:rsidR="00791554">
        <w:rPr>
          <w:noProof/>
        </w:rPr>
        <w:t>24</w:t>
      </w:r>
      <w:r>
        <w:fldChar w:fldCharType="end"/>
      </w:r>
      <w:r>
        <w:t xml:space="preserve">) ergaben sich folgende Ergebnisse: </w:t>
      </w:r>
    </w:p>
    <w:p w14:paraId="090C1196" w14:textId="6B707C5B" w:rsidR="00C85902" w:rsidRDefault="00C85902" w:rsidP="00BC4F51">
      <w:r>
        <w:t>Bei der Zelllinie Cal29 hatte sich Verhältnis CD276/ß-Aktin bei den nicht-infizierten Zellen beim Vergleich der ersten mit der vierten Woche annähernd halbiert. Bei den</w:t>
      </w:r>
      <w:r w:rsidR="002521B9">
        <w:t xml:space="preserve"> über</w:t>
      </w:r>
      <w:r>
        <w:t xml:space="preserve"> </w:t>
      </w:r>
      <w:r w:rsidR="002521B9">
        <w:t>lange Z</w:t>
      </w:r>
      <w:r>
        <w:t xml:space="preserve">eit mit Mykoplasmen infizierten Zellen hingegen hatte sich das Verhältnis von der ersten auf die vierte Woche gesteigert. </w:t>
      </w:r>
    </w:p>
    <w:p w14:paraId="2F0B6B01" w14:textId="77777777" w:rsidR="00C85902" w:rsidRDefault="00C85902" w:rsidP="00BC4F51">
      <w:r>
        <w:t xml:space="preserve">Bei der Zelllinie T24 war das Verhältnis CD276/ß-Aktin sowohl bei den infizierten als auch bei den nicht-infizierten deutlich geringer. Dies hatte sich zuvor bereits bei den deutlich schwächeren Banden angedeutet. Hier verhält es sich ähnlich wie bei der Zelllinie Cal29: bei den nicht-infizierten Zellen ist beim Vergleich der ersten mit der vierten Woche eine Verringerung des Verhältnisses sichtbar, während bei den infizierten Zellen das Verhältnis leicht zunahm. </w:t>
      </w:r>
    </w:p>
    <w:p w14:paraId="6414D217" w14:textId="77777777" w:rsidR="00C85902" w:rsidRDefault="00C85902" w:rsidP="00BC4F51">
      <w:r>
        <w:t>Bei den nicht-infizierten Zellen der Zelllinie HT1997 war in der Probe nach der vierten Passage der CD276/ß-Aktin Quotient annähernd doppelt so groß wie der Wert der ersten Woche. Vergleicht man den Quotienten bei den beiden Proben der infizierten HT1197 Zellen, so sinkt dieser beim Vergleich der ersten mit der vierten Passage ab.</w:t>
      </w:r>
    </w:p>
    <w:p w14:paraId="0DCC9633" w14:textId="77777777" w:rsidR="00C85902" w:rsidRDefault="00C85902" w:rsidP="005E070C">
      <w:r>
        <w:t xml:space="preserve">Bei den zwei Proben der tumorfreien Harnleiterzellen HL 2031 hatte sich der Wert des Quotienten bei den mit Mykoplasmen infizierten Zellen im Vergleich mit den nicht-infizierten Zellen annähernd halbiert. Da es jeweils nur eine Probe der infizierten und der nicht-infizierten Zellen gab, war es nicht möglich, etwas über die Tendenz der Expression des CD276 Proteins beziehungsweise des ß-Aktins zu sagen. </w:t>
      </w:r>
      <w:r>
        <w:rPr>
          <w:noProof/>
        </w:rPr>
        <w:drawing>
          <wp:inline distT="0" distB="0" distL="0" distR="0" wp14:anchorId="64CDC339" wp14:editId="44C75A31">
            <wp:extent cx="5400040" cy="2360930"/>
            <wp:effectExtent l="0" t="0" r="0" b="0"/>
            <wp:docPr id="51" name="Diagramm 51">
              <a:extLst xmlns:a="http://schemas.openxmlformats.org/drawingml/2006/main">
                <a:ext uri="{FF2B5EF4-FFF2-40B4-BE49-F238E27FC236}">
                  <a16:creationId xmlns:a16="http://schemas.microsoft.com/office/drawing/2014/main" id="{A5A7519B-D31A-4EFF-BA6B-DE8CD97AE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AACDD5" w14:textId="22777712" w:rsidR="00C85902" w:rsidRPr="00F56146" w:rsidRDefault="00C85902" w:rsidP="00CA3E3D">
      <w:pPr>
        <w:pStyle w:val="Beschriftung"/>
        <w:rPr>
          <w:vanish/>
          <w:specVanish/>
        </w:rPr>
      </w:pPr>
      <w:bookmarkStart w:id="194" w:name="_Ref84409102"/>
      <w:bookmarkStart w:id="195" w:name="_Toc120649901"/>
      <w:r>
        <w:t xml:space="preserve">Abbildung </w:t>
      </w:r>
      <w:r>
        <w:fldChar w:fldCharType="begin"/>
      </w:r>
      <w:r>
        <w:instrText xml:space="preserve"> SEQ Abbildung \* ARABIC </w:instrText>
      </w:r>
      <w:r>
        <w:fldChar w:fldCharType="separate"/>
      </w:r>
      <w:r w:rsidR="00791554">
        <w:rPr>
          <w:noProof/>
        </w:rPr>
        <w:t>24</w:t>
      </w:r>
      <w:r>
        <w:rPr>
          <w:noProof/>
        </w:rPr>
        <w:fldChar w:fldCharType="end"/>
      </w:r>
      <w:bookmarkEnd w:id="194"/>
      <w:r>
        <w:t xml:space="preserve"> </w:t>
      </w:r>
      <w:r w:rsidRPr="005F00FA">
        <w:t>Grafik des Verhältnisses der CD276 Protein und ß-A</w:t>
      </w:r>
      <w:r>
        <w:t>k</w:t>
      </w:r>
      <w:r w:rsidRPr="005F00FA">
        <w:t>tin Expression im Western</w:t>
      </w:r>
      <w:r>
        <w:t xml:space="preserve"> B</w:t>
      </w:r>
      <w:r w:rsidRPr="005F00FA">
        <w:t>lot</w:t>
      </w:r>
      <w:bookmarkEnd w:id="195"/>
      <w:r>
        <w:t xml:space="preserve"> </w:t>
      </w:r>
    </w:p>
    <w:p w14:paraId="3FA76422" w14:textId="77777777" w:rsidR="00C85902" w:rsidRPr="00CA3E3D" w:rsidRDefault="00C85902" w:rsidP="00CA3E3D">
      <w:pPr>
        <w:pStyle w:val="Beschriftung"/>
      </w:pPr>
      <w:r>
        <w:t xml:space="preserve"> </w:t>
      </w:r>
      <w:r>
        <w:br/>
        <w:t xml:space="preserve">In der Abbildung ist das Verhältnis von CD276 zu dem Housekeeping Gen ß-Actin grafisch für die Zelllinien Cal29, T24 und HT1197 sowie die aus Harnleitern isolierten Zellen HL 20/31dargestellt. Hierbei wird erstens zwischen den infizierten Zellen und den Mykoplasmen-freien Zellen und zweitens zwischen der erste und der vierten Passage unterschieden. </w:t>
      </w:r>
    </w:p>
    <w:p w14:paraId="13B93AA8" w14:textId="671C470B" w:rsidR="00C85902" w:rsidRPr="00F56146" w:rsidRDefault="00C85902" w:rsidP="004E60F9">
      <w:pPr>
        <w:pStyle w:val="Beschriftung"/>
        <w:keepNext/>
        <w:rPr>
          <w:vanish/>
          <w:specVanish/>
        </w:rPr>
      </w:pPr>
      <w:bookmarkStart w:id="196" w:name="_Ref103086536"/>
      <w:bookmarkStart w:id="197" w:name="_Ref103086523"/>
      <w:bookmarkStart w:id="198" w:name="_Toc120649872"/>
      <w:r>
        <w:t xml:space="preserve">Tabelle </w:t>
      </w:r>
      <w:r>
        <w:fldChar w:fldCharType="begin"/>
      </w:r>
      <w:r>
        <w:instrText xml:space="preserve"> SEQ Tabelle \* ARABIC </w:instrText>
      </w:r>
      <w:r>
        <w:fldChar w:fldCharType="separate"/>
      </w:r>
      <w:r w:rsidR="00791554">
        <w:rPr>
          <w:noProof/>
        </w:rPr>
        <w:t>30</w:t>
      </w:r>
      <w:r>
        <w:rPr>
          <w:noProof/>
        </w:rPr>
        <w:fldChar w:fldCharType="end"/>
      </w:r>
      <w:bookmarkEnd w:id="196"/>
      <w:r>
        <w:t xml:space="preserve"> </w:t>
      </w:r>
      <w:r w:rsidRPr="00834FC0">
        <w:t>Verhältnis</w:t>
      </w:r>
      <w:r>
        <w:t xml:space="preserve"> Pigmentdichte</w:t>
      </w:r>
      <w:r w:rsidRPr="00834FC0">
        <w:t xml:space="preserve"> CD276 Protein zu ß-Aktin im Western</w:t>
      </w:r>
      <w:r>
        <w:t xml:space="preserve"> B</w:t>
      </w:r>
      <w:r w:rsidRPr="00834FC0">
        <w:t>lot</w:t>
      </w:r>
      <w:bookmarkEnd w:id="197"/>
      <w:bookmarkEnd w:id="198"/>
      <w:r>
        <w:t xml:space="preserve"> </w:t>
      </w:r>
    </w:p>
    <w:p w14:paraId="440BEB64" w14:textId="77777777" w:rsidR="00C85902" w:rsidRDefault="00C85902" w:rsidP="004E60F9">
      <w:pPr>
        <w:pStyle w:val="Beschriftung"/>
        <w:keepNext/>
      </w:pPr>
      <w:r>
        <w:t xml:space="preserve"> </w:t>
      </w:r>
      <w:r>
        <w:br/>
        <w:t xml:space="preserve">In der Tabelle ist die Anzahl der im Li-COR </w:t>
      </w:r>
      <w:r w:rsidRPr="00F56146">
        <w:rPr>
          <w:vertAlign w:val="superscript"/>
        </w:rPr>
        <w:t xml:space="preserve">® </w:t>
      </w:r>
      <w:r>
        <w:t xml:space="preserve">gemessenen Pigmente von CD276 und ß-Aktin für die Zelllinien Cal29, T24, HT1197 und HL 20/31 jeweils mit und ohne Mykoplasmen Infektion aufgeführt. Hierbei wir außerdem zwischen der ersten und vierten Woche unterschieden. </w:t>
      </w:r>
    </w:p>
    <w:tbl>
      <w:tblPr>
        <w:tblW w:w="7579" w:type="dxa"/>
        <w:tblCellMar>
          <w:left w:w="70" w:type="dxa"/>
          <w:right w:w="70" w:type="dxa"/>
        </w:tblCellMar>
        <w:tblLook w:val="04A0" w:firstRow="1" w:lastRow="0" w:firstColumn="1" w:lastColumn="0" w:noHBand="0" w:noVBand="1"/>
      </w:tblPr>
      <w:tblGrid>
        <w:gridCol w:w="2117"/>
        <w:gridCol w:w="1381"/>
        <w:gridCol w:w="1634"/>
        <w:gridCol w:w="2547"/>
      </w:tblGrid>
      <w:tr w:rsidR="00C85902" w:rsidRPr="005647E6" w14:paraId="6EDE0844" w14:textId="77777777" w:rsidTr="00AF1B42">
        <w:trPr>
          <w:trHeight w:val="290"/>
        </w:trPr>
        <w:tc>
          <w:tcPr>
            <w:tcW w:w="21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8522330"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281" w:type="dxa"/>
            <w:tcBorders>
              <w:top w:val="single" w:sz="8" w:space="0" w:color="auto"/>
              <w:left w:val="nil"/>
              <w:bottom w:val="single" w:sz="4" w:space="0" w:color="auto"/>
              <w:right w:val="single" w:sz="4" w:space="0" w:color="auto"/>
            </w:tcBorders>
            <w:shd w:val="clear" w:color="000000" w:fill="F2F2F2"/>
            <w:noWrap/>
            <w:vAlign w:val="bottom"/>
            <w:hideMark/>
          </w:tcPr>
          <w:p w14:paraId="221CA355" w14:textId="77777777" w:rsidR="00C85902" w:rsidRPr="00F56146" w:rsidRDefault="00C85902" w:rsidP="00F56146">
            <w:pPr>
              <w:spacing w:after="0" w:line="240" w:lineRule="auto"/>
              <w:jc w:val="center"/>
              <w:rPr>
                <w:rFonts w:eastAsia="Times New Roman" w:cs="Arial"/>
                <w:b/>
                <w:bCs/>
                <w:color w:val="000000"/>
                <w:sz w:val="18"/>
                <w:szCs w:val="18"/>
                <w:lang w:eastAsia="de-DE"/>
              </w:rPr>
            </w:pPr>
            <w:r w:rsidRPr="00F56146">
              <w:rPr>
                <w:rFonts w:eastAsia="Times New Roman" w:cs="Arial"/>
                <w:b/>
                <w:bCs/>
                <w:color w:val="000000"/>
                <w:sz w:val="18"/>
                <w:szCs w:val="18"/>
                <w:lang w:eastAsia="de-DE"/>
              </w:rPr>
              <w:t>Pigmentdichte CD276</w:t>
            </w:r>
          </w:p>
        </w:tc>
        <w:tc>
          <w:tcPr>
            <w:tcW w:w="1634" w:type="dxa"/>
            <w:tcBorders>
              <w:top w:val="single" w:sz="8" w:space="0" w:color="auto"/>
              <w:left w:val="nil"/>
              <w:bottom w:val="single" w:sz="4" w:space="0" w:color="auto"/>
              <w:right w:val="single" w:sz="4" w:space="0" w:color="auto"/>
            </w:tcBorders>
            <w:shd w:val="clear" w:color="000000" w:fill="F2F2F2"/>
            <w:noWrap/>
            <w:vAlign w:val="bottom"/>
            <w:hideMark/>
          </w:tcPr>
          <w:p w14:paraId="3FB2C4E0" w14:textId="77777777" w:rsidR="00C85902" w:rsidRPr="00F56146" w:rsidRDefault="00C85902" w:rsidP="00F56146">
            <w:pPr>
              <w:spacing w:after="0" w:line="240" w:lineRule="auto"/>
              <w:jc w:val="center"/>
              <w:rPr>
                <w:rFonts w:eastAsia="Times New Roman" w:cs="Arial"/>
                <w:b/>
                <w:bCs/>
                <w:color w:val="000000"/>
                <w:sz w:val="18"/>
                <w:szCs w:val="18"/>
                <w:lang w:eastAsia="de-DE"/>
              </w:rPr>
            </w:pPr>
            <w:r w:rsidRPr="00F56146">
              <w:rPr>
                <w:rFonts w:eastAsia="Times New Roman" w:cs="Arial"/>
                <w:b/>
                <w:bCs/>
                <w:color w:val="000000"/>
                <w:sz w:val="18"/>
                <w:szCs w:val="18"/>
                <w:lang w:eastAsia="de-DE"/>
              </w:rPr>
              <w:t>Pigmentdichte</w:t>
            </w:r>
          </w:p>
          <w:p w14:paraId="4837ACC7" w14:textId="77777777" w:rsidR="00C85902" w:rsidRPr="00F56146" w:rsidRDefault="00C85902" w:rsidP="00F56146">
            <w:pPr>
              <w:spacing w:after="0" w:line="240" w:lineRule="auto"/>
              <w:jc w:val="center"/>
              <w:rPr>
                <w:rFonts w:eastAsia="Times New Roman" w:cs="Arial"/>
                <w:b/>
                <w:bCs/>
                <w:color w:val="000000"/>
                <w:sz w:val="18"/>
                <w:szCs w:val="18"/>
                <w:lang w:eastAsia="de-DE"/>
              </w:rPr>
            </w:pPr>
            <w:r w:rsidRPr="00F56146">
              <w:rPr>
                <w:rFonts w:eastAsia="Times New Roman" w:cs="Arial"/>
                <w:b/>
                <w:bCs/>
                <w:color w:val="000000"/>
                <w:sz w:val="18"/>
                <w:szCs w:val="18"/>
                <w:lang w:eastAsia="de-DE"/>
              </w:rPr>
              <w:t>ß-Aktin</w:t>
            </w:r>
          </w:p>
        </w:tc>
        <w:tc>
          <w:tcPr>
            <w:tcW w:w="2547" w:type="dxa"/>
            <w:tcBorders>
              <w:top w:val="single" w:sz="8" w:space="0" w:color="auto"/>
              <w:left w:val="nil"/>
              <w:bottom w:val="single" w:sz="4" w:space="0" w:color="auto"/>
              <w:right w:val="single" w:sz="8" w:space="0" w:color="auto"/>
            </w:tcBorders>
            <w:shd w:val="clear" w:color="000000" w:fill="F2F2F2"/>
            <w:noWrap/>
            <w:vAlign w:val="bottom"/>
            <w:hideMark/>
          </w:tcPr>
          <w:p w14:paraId="1AEC1B3F" w14:textId="77777777" w:rsidR="00C85902" w:rsidRPr="00F56146" w:rsidRDefault="00C85902" w:rsidP="00F56146">
            <w:pPr>
              <w:spacing w:after="0" w:line="240" w:lineRule="auto"/>
              <w:jc w:val="center"/>
              <w:rPr>
                <w:rFonts w:eastAsia="Times New Roman" w:cs="Arial"/>
                <w:b/>
                <w:bCs/>
                <w:color w:val="000000"/>
                <w:sz w:val="18"/>
                <w:szCs w:val="18"/>
                <w:lang w:eastAsia="de-DE"/>
              </w:rPr>
            </w:pPr>
            <w:r w:rsidRPr="00F56146">
              <w:rPr>
                <w:rFonts w:eastAsia="Times New Roman" w:cs="Arial"/>
                <w:b/>
                <w:bCs/>
                <w:color w:val="000000"/>
                <w:sz w:val="18"/>
                <w:szCs w:val="18"/>
                <w:lang w:eastAsia="de-DE"/>
              </w:rPr>
              <w:t>Verhältnis der Pigmentdichte CD276 zu ß-Aktin</w:t>
            </w:r>
          </w:p>
        </w:tc>
      </w:tr>
      <w:tr w:rsidR="00C85902" w:rsidRPr="005647E6" w14:paraId="7083C946"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56F00460"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Cal29 OM 1.Woche</w:t>
            </w:r>
          </w:p>
        </w:tc>
        <w:tc>
          <w:tcPr>
            <w:tcW w:w="1281" w:type="dxa"/>
            <w:tcBorders>
              <w:top w:val="nil"/>
              <w:left w:val="nil"/>
              <w:bottom w:val="single" w:sz="4" w:space="0" w:color="auto"/>
              <w:right w:val="single" w:sz="4" w:space="0" w:color="auto"/>
            </w:tcBorders>
            <w:shd w:val="clear" w:color="auto" w:fill="auto"/>
            <w:noWrap/>
            <w:vAlign w:val="bottom"/>
            <w:hideMark/>
          </w:tcPr>
          <w:p w14:paraId="50E4B176"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192000</w:t>
            </w:r>
          </w:p>
        </w:tc>
        <w:tc>
          <w:tcPr>
            <w:tcW w:w="1634" w:type="dxa"/>
            <w:tcBorders>
              <w:top w:val="nil"/>
              <w:left w:val="nil"/>
              <w:bottom w:val="single" w:sz="4" w:space="0" w:color="auto"/>
              <w:right w:val="single" w:sz="4" w:space="0" w:color="auto"/>
            </w:tcBorders>
            <w:shd w:val="clear" w:color="auto" w:fill="auto"/>
            <w:noWrap/>
            <w:vAlign w:val="bottom"/>
            <w:hideMark/>
          </w:tcPr>
          <w:p w14:paraId="7078ECDB"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463000</w:t>
            </w:r>
          </w:p>
        </w:tc>
        <w:tc>
          <w:tcPr>
            <w:tcW w:w="2547" w:type="dxa"/>
            <w:tcBorders>
              <w:top w:val="nil"/>
              <w:left w:val="nil"/>
              <w:bottom w:val="single" w:sz="4" w:space="0" w:color="auto"/>
              <w:right w:val="single" w:sz="8" w:space="0" w:color="auto"/>
            </w:tcBorders>
            <w:shd w:val="clear" w:color="000000" w:fill="D9D9D9"/>
            <w:noWrap/>
            <w:vAlign w:val="bottom"/>
            <w:hideMark/>
          </w:tcPr>
          <w:p w14:paraId="6A238A76"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0,414686825</w:t>
            </w:r>
          </w:p>
        </w:tc>
      </w:tr>
      <w:tr w:rsidR="00C85902" w:rsidRPr="005647E6" w14:paraId="1E372CCF"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0ACD7EAA"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Cal29 OM 4. Woche</w:t>
            </w:r>
          </w:p>
        </w:tc>
        <w:tc>
          <w:tcPr>
            <w:tcW w:w="1281" w:type="dxa"/>
            <w:tcBorders>
              <w:top w:val="nil"/>
              <w:left w:val="nil"/>
              <w:bottom w:val="single" w:sz="4" w:space="0" w:color="auto"/>
              <w:right w:val="single" w:sz="4" w:space="0" w:color="auto"/>
            </w:tcBorders>
            <w:shd w:val="clear" w:color="auto" w:fill="auto"/>
            <w:noWrap/>
            <w:vAlign w:val="bottom"/>
            <w:hideMark/>
          </w:tcPr>
          <w:p w14:paraId="0880F988"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94600</w:t>
            </w:r>
          </w:p>
        </w:tc>
        <w:tc>
          <w:tcPr>
            <w:tcW w:w="1634" w:type="dxa"/>
            <w:tcBorders>
              <w:top w:val="nil"/>
              <w:left w:val="nil"/>
              <w:bottom w:val="single" w:sz="4" w:space="0" w:color="auto"/>
              <w:right w:val="single" w:sz="4" w:space="0" w:color="auto"/>
            </w:tcBorders>
            <w:shd w:val="clear" w:color="auto" w:fill="auto"/>
            <w:noWrap/>
            <w:vAlign w:val="bottom"/>
            <w:hideMark/>
          </w:tcPr>
          <w:p w14:paraId="56F18B9B"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407000</w:t>
            </w:r>
          </w:p>
        </w:tc>
        <w:tc>
          <w:tcPr>
            <w:tcW w:w="2547" w:type="dxa"/>
            <w:tcBorders>
              <w:top w:val="nil"/>
              <w:left w:val="nil"/>
              <w:bottom w:val="single" w:sz="4" w:space="0" w:color="auto"/>
              <w:right w:val="single" w:sz="8" w:space="0" w:color="auto"/>
            </w:tcBorders>
            <w:shd w:val="clear" w:color="000000" w:fill="D9D9D9"/>
            <w:noWrap/>
            <w:vAlign w:val="bottom"/>
            <w:hideMark/>
          </w:tcPr>
          <w:p w14:paraId="0B8591CD"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0,232432432</w:t>
            </w:r>
          </w:p>
        </w:tc>
      </w:tr>
      <w:tr w:rsidR="00C85902" w:rsidRPr="005647E6" w14:paraId="66B5C42D"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45BEB1AE"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Cal29 M 1. Woche</w:t>
            </w:r>
          </w:p>
        </w:tc>
        <w:tc>
          <w:tcPr>
            <w:tcW w:w="1281" w:type="dxa"/>
            <w:tcBorders>
              <w:top w:val="nil"/>
              <w:left w:val="nil"/>
              <w:bottom w:val="single" w:sz="4" w:space="0" w:color="auto"/>
              <w:right w:val="single" w:sz="4" w:space="0" w:color="auto"/>
            </w:tcBorders>
            <w:shd w:val="clear" w:color="auto" w:fill="auto"/>
            <w:noWrap/>
            <w:vAlign w:val="bottom"/>
            <w:hideMark/>
          </w:tcPr>
          <w:p w14:paraId="3FB327B1"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85000</w:t>
            </w:r>
          </w:p>
        </w:tc>
        <w:tc>
          <w:tcPr>
            <w:tcW w:w="1634" w:type="dxa"/>
            <w:tcBorders>
              <w:top w:val="nil"/>
              <w:left w:val="nil"/>
              <w:bottom w:val="single" w:sz="4" w:space="0" w:color="auto"/>
              <w:right w:val="single" w:sz="4" w:space="0" w:color="auto"/>
            </w:tcBorders>
            <w:shd w:val="clear" w:color="auto" w:fill="auto"/>
            <w:noWrap/>
            <w:vAlign w:val="bottom"/>
            <w:hideMark/>
          </w:tcPr>
          <w:p w14:paraId="57069614"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465000</w:t>
            </w:r>
          </w:p>
        </w:tc>
        <w:tc>
          <w:tcPr>
            <w:tcW w:w="2547" w:type="dxa"/>
            <w:tcBorders>
              <w:top w:val="nil"/>
              <w:left w:val="nil"/>
              <w:bottom w:val="single" w:sz="4" w:space="0" w:color="auto"/>
              <w:right w:val="single" w:sz="8" w:space="0" w:color="auto"/>
            </w:tcBorders>
            <w:shd w:val="clear" w:color="000000" w:fill="D9D9D9"/>
            <w:noWrap/>
            <w:vAlign w:val="bottom"/>
            <w:hideMark/>
          </w:tcPr>
          <w:p w14:paraId="32B862DF"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0,182795699</w:t>
            </w:r>
          </w:p>
        </w:tc>
      </w:tr>
      <w:tr w:rsidR="00C85902" w:rsidRPr="005647E6" w14:paraId="275A5222"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6633D0E8"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Cal29 M 4. Woche</w:t>
            </w:r>
          </w:p>
        </w:tc>
        <w:tc>
          <w:tcPr>
            <w:tcW w:w="1281" w:type="dxa"/>
            <w:tcBorders>
              <w:top w:val="nil"/>
              <w:left w:val="nil"/>
              <w:bottom w:val="single" w:sz="4" w:space="0" w:color="auto"/>
              <w:right w:val="single" w:sz="4" w:space="0" w:color="auto"/>
            </w:tcBorders>
            <w:shd w:val="clear" w:color="auto" w:fill="auto"/>
            <w:noWrap/>
            <w:vAlign w:val="bottom"/>
            <w:hideMark/>
          </w:tcPr>
          <w:p w14:paraId="6CE236F6"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117000</w:t>
            </w:r>
          </w:p>
        </w:tc>
        <w:tc>
          <w:tcPr>
            <w:tcW w:w="1634" w:type="dxa"/>
            <w:tcBorders>
              <w:top w:val="nil"/>
              <w:left w:val="nil"/>
              <w:bottom w:val="single" w:sz="4" w:space="0" w:color="auto"/>
              <w:right w:val="single" w:sz="4" w:space="0" w:color="auto"/>
            </w:tcBorders>
            <w:shd w:val="clear" w:color="auto" w:fill="auto"/>
            <w:noWrap/>
            <w:vAlign w:val="bottom"/>
            <w:hideMark/>
          </w:tcPr>
          <w:p w14:paraId="3D635DAC"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471000</w:t>
            </w:r>
          </w:p>
        </w:tc>
        <w:tc>
          <w:tcPr>
            <w:tcW w:w="2547" w:type="dxa"/>
            <w:tcBorders>
              <w:top w:val="nil"/>
              <w:left w:val="nil"/>
              <w:bottom w:val="single" w:sz="4" w:space="0" w:color="auto"/>
              <w:right w:val="single" w:sz="8" w:space="0" w:color="auto"/>
            </w:tcBorders>
            <w:shd w:val="clear" w:color="000000" w:fill="D9D9D9"/>
            <w:noWrap/>
            <w:vAlign w:val="bottom"/>
            <w:hideMark/>
          </w:tcPr>
          <w:p w14:paraId="280D7550"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0,248407643</w:t>
            </w:r>
          </w:p>
        </w:tc>
      </w:tr>
      <w:tr w:rsidR="00C85902" w:rsidRPr="005647E6" w14:paraId="43CCDA37" w14:textId="77777777" w:rsidTr="00AF1B42">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4F0DB48C"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281" w:type="dxa"/>
            <w:tcBorders>
              <w:top w:val="nil"/>
              <w:left w:val="nil"/>
              <w:bottom w:val="single" w:sz="4" w:space="0" w:color="auto"/>
              <w:right w:val="single" w:sz="4" w:space="0" w:color="auto"/>
            </w:tcBorders>
            <w:shd w:val="clear" w:color="auto" w:fill="auto"/>
            <w:noWrap/>
            <w:vAlign w:val="bottom"/>
            <w:hideMark/>
          </w:tcPr>
          <w:p w14:paraId="5BD442AA"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634" w:type="dxa"/>
            <w:tcBorders>
              <w:top w:val="nil"/>
              <w:left w:val="nil"/>
              <w:bottom w:val="single" w:sz="4" w:space="0" w:color="auto"/>
              <w:right w:val="single" w:sz="4" w:space="0" w:color="auto"/>
            </w:tcBorders>
            <w:shd w:val="clear" w:color="auto" w:fill="auto"/>
            <w:noWrap/>
            <w:vAlign w:val="bottom"/>
            <w:hideMark/>
          </w:tcPr>
          <w:p w14:paraId="790E4B7F"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2547" w:type="dxa"/>
            <w:tcBorders>
              <w:top w:val="nil"/>
              <w:left w:val="nil"/>
              <w:bottom w:val="single" w:sz="4" w:space="0" w:color="auto"/>
              <w:right w:val="single" w:sz="8" w:space="0" w:color="auto"/>
            </w:tcBorders>
            <w:shd w:val="clear" w:color="auto" w:fill="auto"/>
            <w:noWrap/>
            <w:vAlign w:val="bottom"/>
            <w:hideMark/>
          </w:tcPr>
          <w:p w14:paraId="34733BE0"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r>
      <w:tr w:rsidR="00C85902" w:rsidRPr="005647E6" w14:paraId="5AA45DEC"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24DC41A7"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T24 OM 1. Woche</w:t>
            </w:r>
          </w:p>
        </w:tc>
        <w:tc>
          <w:tcPr>
            <w:tcW w:w="1281" w:type="dxa"/>
            <w:tcBorders>
              <w:top w:val="nil"/>
              <w:left w:val="nil"/>
              <w:bottom w:val="single" w:sz="4" w:space="0" w:color="auto"/>
              <w:right w:val="single" w:sz="4" w:space="0" w:color="auto"/>
            </w:tcBorders>
            <w:shd w:val="clear" w:color="auto" w:fill="auto"/>
            <w:noWrap/>
            <w:vAlign w:val="bottom"/>
            <w:hideMark/>
          </w:tcPr>
          <w:p w14:paraId="30CF7D0F"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36200</w:t>
            </w:r>
          </w:p>
        </w:tc>
        <w:tc>
          <w:tcPr>
            <w:tcW w:w="1634" w:type="dxa"/>
            <w:tcBorders>
              <w:top w:val="nil"/>
              <w:left w:val="nil"/>
              <w:bottom w:val="single" w:sz="4" w:space="0" w:color="auto"/>
              <w:right w:val="single" w:sz="4" w:space="0" w:color="auto"/>
            </w:tcBorders>
            <w:shd w:val="clear" w:color="auto" w:fill="auto"/>
            <w:noWrap/>
            <w:vAlign w:val="bottom"/>
            <w:hideMark/>
          </w:tcPr>
          <w:p w14:paraId="22FD76AD"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520000</w:t>
            </w:r>
          </w:p>
        </w:tc>
        <w:tc>
          <w:tcPr>
            <w:tcW w:w="2547" w:type="dxa"/>
            <w:tcBorders>
              <w:top w:val="nil"/>
              <w:left w:val="nil"/>
              <w:bottom w:val="single" w:sz="4" w:space="0" w:color="auto"/>
              <w:right w:val="single" w:sz="8" w:space="0" w:color="auto"/>
            </w:tcBorders>
            <w:shd w:val="clear" w:color="000000" w:fill="D9D9D9"/>
            <w:noWrap/>
            <w:vAlign w:val="bottom"/>
            <w:hideMark/>
          </w:tcPr>
          <w:p w14:paraId="70BE9699"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0,069615385</w:t>
            </w:r>
          </w:p>
        </w:tc>
      </w:tr>
      <w:tr w:rsidR="00C85902" w:rsidRPr="005647E6" w14:paraId="6A4182EA"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6EB407C4"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T24 OM 4. Woche</w:t>
            </w:r>
          </w:p>
        </w:tc>
        <w:tc>
          <w:tcPr>
            <w:tcW w:w="1281" w:type="dxa"/>
            <w:tcBorders>
              <w:top w:val="nil"/>
              <w:left w:val="nil"/>
              <w:bottom w:val="single" w:sz="4" w:space="0" w:color="auto"/>
              <w:right w:val="single" w:sz="4" w:space="0" w:color="auto"/>
            </w:tcBorders>
            <w:shd w:val="clear" w:color="auto" w:fill="auto"/>
            <w:noWrap/>
            <w:vAlign w:val="bottom"/>
            <w:hideMark/>
          </w:tcPr>
          <w:p w14:paraId="0B9ACCAA"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14600</w:t>
            </w:r>
          </w:p>
        </w:tc>
        <w:tc>
          <w:tcPr>
            <w:tcW w:w="1634" w:type="dxa"/>
            <w:tcBorders>
              <w:top w:val="nil"/>
              <w:left w:val="nil"/>
              <w:bottom w:val="single" w:sz="4" w:space="0" w:color="auto"/>
              <w:right w:val="single" w:sz="4" w:space="0" w:color="auto"/>
            </w:tcBorders>
            <w:shd w:val="clear" w:color="auto" w:fill="auto"/>
            <w:noWrap/>
            <w:vAlign w:val="bottom"/>
            <w:hideMark/>
          </w:tcPr>
          <w:p w14:paraId="4CAA3CF2"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267000</w:t>
            </w:r>
          </w:p>
        </w:tc>
        <w:tc>
          <w:tcPr>
            <w:tcW w:w="2547" w:type="dxa"/>
            <w:tcBorders>
              <w:top w:val="nil"/>
              <w:left w:val="nil"/>
              <w:bottom w:val="single" w:sz="4" w:space="0" w:color="auto"/>
              <w:right w:val="single" w:sz="8" w:space="0" w:color="auto"/>
            </w:tcBorders>
            <w:shd w:val="clear" w:color="000000" w:fill="D9D9D9"/>
            <w:noWrap/>
            <w:vAlign w:val="bottom"/>
            <w:hideMark/>
          </w:tcPr>
          <w:p w14:paraId="39F0E9AE"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0,054681648</w:t>
            </w:r>
          </w:p>
        </w:tc>
      </w:tr>
      <w:tr w:rsidR="00C85902" w:rsidRPr="005647E6" w14:paraId="42BD55D4"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6E482884"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T24 M 1. Woche</w:t>
            </w:r>
          </w:p>
        </w:tc>
        <w:tc>
          <w:tcPr>
            <w:tcW w:w="1281" w:type="dxa"/>
            <w:tcBorders>
              <w:top w:val="nil"/>
              <w:left w:val="nil"/>
              <w:bottom w:val="single" w:sz="4" w:space="0" w:color="auto"/>
              <w:right w:val="single" w:sz="4" w:space="0" w:color="auto"/>
            </w:tcBorders>
            <w:shd w:val="clear" w:color="auto" w:fill="auto"/>
            <w:noWrap/>
            <w:vAlign w:val="bottom"/>
            <w:hideMark/>
          </w:tcPr>
          <w:p w14:paraId="6147442A"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8550</w:t>
            </w:r>
          </w:p>
        </w:tc>
        <w:tc>
          <w:tcPr>
            <w:tcW w:w="1634" w:type="dxa"/>
            <w:tcBorders>
              <w:top w:val="nil"/>
              <w:left w:val="nil"/>
              <w:bottom w:val="single" w:sz="4" w:space="0" w:color="auto"/>
              <w:right w:val="single" w:sz="4" w:space="0" w:color="auto"/>
            </w:tcBorders>
            <w:shd w:val="clear" w:color="auto" w:fill="auto"/>
            <w:noWrap/>
            <w:vAlign w:val="bottom"/>
            <w:hideMark/>
          </w:tcPr>
          <w:p w14:paraId="060EF4F9"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258000</w:t>
            </w:r>
          </w:p>
        </w:tc>
        <w:tc>
          <w:tcPr>
            <w:tcW w:w="2547" w:type="dxa"/>
            <w:tcBorders>
              <w:top w:val="nil"/>
              <w:left w:val="nil"/>
              <w:bottom w:val="single" w:sz="4" w:space="0" w:color="auto"/>
              <w:right w:val="single" w:sz="8" w:space="0" w:color="auto"/>
            </w:tcBorders>
            <w:shd w:val="clear" w:color="000000" w:fill="D9D9D9"/>
            <w:noWrap/>
            <w:vAlign w:val="bottom"/>
            <w:hideMark/>
          </w:tcPr>
          <w:p w14:paraId="06D8B5A6"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0,033139535</w:t>
            </w:r>
          </w:p>
        </w:tc>
      </w:tr>
      <w:tr w:rsidR="00C85902" w:rsidRPr="005647E6" w14:paraId="7CB464E3"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74928C84"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T24 M 4. Woche</w:t>
            </w:r>
          </w:p>
        </w:tc>
        <w:tc>
          <w:tcPr>
            <w:tcW w:w="1281" w:type="dxa"/>
            <w:tcBorders>
              <w:top w:val="nil"/>
              <w:left w:val="nil"/>
              <w:bottom w:val="single" w:sz="4" w:space="0" w:color="auto"/>
              <w:right w:val="single" w:sz="4" w:space="0" w:color="auto"/>
            </w:tcBorders>
            <w:shd w:val="clear" w:color="auto" w:fill="auto"/>
            <w:noWrap/>
            <w:vAlign w:val="bottom"/>
            <w:hideMark/>
          </w:tcPr>
          <w:p w14:paraId="35259060"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8980</w:t>
            </w:r>
          </w:p>
        </w:tc>
        <w:tc>
          <w:tcPr>
            <w:tcW w:w="1634" w:type="dxa"/>
            <w:tcBorders>
              <w:top w:val="nil"/>
              <w:left w:val="nil"/>
              <w:bottom w:val="single" w:sz="4" w:space="0" w:color="auto"/>
              <w:right w:val="single" w:sz="4" w:space="0" w:color="auto"/>
            </w:tcBorders>
            <w:shd w:val="clear" w:color="auto" w:fill="auto"/>
            <w:noWrap/>
            <w:vAlign w:val="bottom"/>
            <w:hideMark/>
          </w:tcPr>
          <w:p w14:paraId="7D20866B"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179000</w:t>
            </w:r>
          </w:p>
        </w:tc>
        <w:tc>
          <w:tcPr>
            <w:tcW w:w="2547" w:type="dxa"/>
            <w:tcBorders>
              <w:top w:val="nil"/>
              <w:left w:val="nil"/>
              <w:bottom w:val="single" w:sz="4" w:space="0" w:color="auto"/>
              <w:right w:val="single" w:sz="8" w:space="0" w:color="auto"/>
            </w:tcBorders>
            <w:shd w:val="clear" w:color="000000" w:fill="D9D9D9"/>
            <w:noWrap/>
            <w:vAlign w:val="bottom"/>
            <w:hideMark/>
          </w:tcPr>
          <w:p w14:paraId="63D1A504"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0,050167598</w:t>
            </w:r>
          </w:p>
        </w:tc>
      </w:tr>
      <w:tr w:rsidR="00C85902" w:rsidRPr="005647E6" w14:paraId="49C89A2C" w14:textId="77777777" w:rsidTr="00AF1B42">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2F8F61E2"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281" w:type="dxa"/>
            <w:tcBorders>
              <w:top w:val="nil"/>
              <w:left w:val="nil"/>
              <w:bottom w:val="single" w:sz="4" w:space="0" w:color="auto"/>
              <w:right w:val="single" w:sz="4" w:space="0" w:color="auto"/>
            </w:tcBorders>
            <w:shd w:val="clear" w:color="auto" w:fill="auto"/>
            <w:noWrap/>
            <w:vAlign w:val="bottom"/>
            <w:hideMark/>
          </w:tcPr>
          <w:p w14:paraId="2AAAFA0A"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634" w:type="dxa"/>
            <w:tcBorders>
              <w:top w:val="nil"/>
              <w:left w:val="nil"/>
              <w:bottom w:val="single" w:sz="4" w:space="0" w:color="auto"/>
              <w:right w:val="single" w:sz="4" w:space="0" w:color="auto"/>
            </w:tcBorders>
            <w:shd w:val="clear" w:color="auto" w:fill="auto"/>
            <w:noWrap/>
            <w:vAlign w:val="bottom"/>
            <w:hideMark/>
          </w:tcPr>
          <w:p w14:paraId="7C470A6D"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2547" w:type="dxa"/>
            <w:tcBorders>
              <w:top w:val="nil"/>
              <w:left w:val="nil"/>
              <w:bottom w:val="single" w:sz="4" w:space="0" w:color="auto"/>
              <w:right w:val="single" w:sz="8" w:space="0" w:color="auto"/>
            </w:tcBorders>
            <w:shd w:val="clear" w:color="auto" w:fill="auto"/>
            <w:noWrap/>
            <w:vAlign w:val="bottom"/>
            <w:hideMark/>
          </w:tcPr>
          <w:p w14:paraId="4C67EBA9"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r>
      <w:tr w:rsidR="00C85902" w:rsidRPr="005647E6" w14:paraId="1A167527"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2FCF536A"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HT1197 OM 1.Passage</w:t>
            </w:r>
          </w:p>
        </w:tc>
        <w:tc>
          <w:tcPr>
            <w:tcW w:w="1281" w:type="dxa"/>
            <w:tcBorders>
              <w:top w:val="nil"/>
              <w:left w:val="nil"/>
              <w:bottom w:val="single" w:sz="4" w:space="0" w:color="auto"/>
              <w:right w:val="single" w:sz="4" w:space="0" w:color="auto"/>
            </w:tcBorders>
            <w:shd w:val="clear" w:color="auto" w:fill="auto"/>
            <w:noWrap/>
            <w:vAlign w:val="bottom"/>
            <w:hideMark/>
          </w:tcPr>
          <w:p w14:paraId="3FBFE3A6"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49400</w:t>
            </w:r>
          </w:p>
        </w:tc>
        <w:tc>
          <w:tcPr>
            <w:tcW w:w="1634" w:type="dxa"/>
            <w:tcBorders>
              <w:top w:val="nil"/>
              <w:left w:val="nil"/>
              <w:bottom w:val="single" w:sz="4" w:space="0" w:color="auto"/>
              <w:right w:val="single" w:sz="4" w:space="0" w:color="auto"/>
            </w:tcBorders>
            <w:shd w:val="clear" w:color="auto" w:fill="auto"/>
            <w:noWrap/>
            <w:vAlign w:val="bottom"/>
            <w:hideMark/>
          </w:tcPr>
          <w:p w14:paraId="3F8D1E7D"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285000</w:t>
            </w:r>
          </w:p>
        </w:tc>
        <w:tc>
          <w:tcPr>
            <w:tcW w:w="2547" w:type="dxa"/>
            <w:tcBorders>
              <w:top w:val="nil"/>
              <w:left w:val="nil"/>
              <w:bottom w:val="single" w:sz="4" w:space="0" w:color="auto"/>
              <w:right w:val="single" w:sz="8" w:space="0" w:color="auto"/>
            </w:tcBorders>
            <w:shd w:val="clear" w:color="000000" w:fill="D9D9D9"/>
            <w:noWrap/>
            <w:vAlign w:val="bottom"/>
            <w:hideMark/>
          </w:tcPr>
          <w:p w14:paraId="23D76A51"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0,173333333</w:t>
            </w:r>
          </w:p>
        </w:tc>
      </w:tr>
      <w:tr w:rsidR="00C85902" w:rsidRPr="005647E6" w14:paraId="1FF06E97"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6A9916D5"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HT1197 OM 4. Passage</w:t>
            </w:r>
          </w:p>
        </w:tc>
        <w:tc>
          <w:tcPr>
            <w:tcW w:w="1281" w:type="dxa"/>
            <w:tcBorders>
              <w:top w:val="nil"/>
              <w:left w:val="nil"/>
              <w:bottom w:val="single" w:sz="4" w:space="0" w:color="auto"/>
              <w:right w:val="single" w:sz="4" w:space="0" w:color="auto"/>
            </w:tcBorders>
            <w:shd w:val="clear" w:color="auto" w:fill="auto"/>
            <w:noWrap/>
            <w:vAlign w:val="bottom"/>
            <w:hideMark/>
          </w:tcPr>
          <w:p w14:paraId="0E0DD607"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98700</w:t>
            </w:r>
          </w:p>
        </w:tc>
        <w:tc>
          <w:tcPr>
            <w:tcW w:w="1634" w:type="dxa"/>
            <w:tcBorders>
              <w:top w:val="nil"/>
              <w:left w:val="nil"/>
              <w:bottom w:val="single" w:sz="4" w:space="0" w:color="auto"/>
              <w:right w:val="single" w:sz="4" w:space="0" w:color="auto"/>
            </w:tcBorders>
            <w:shd w:val="clear" w:color="auto" w:fill="auto"/>
            <w:noWrap/>
            <w:vAlign w:val="bottom"/>
            <w:hideMark/>
          </w:tcPr>
          <w:p w14:paraId="43D88C8E"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325000</w:t>
            </w:r>
          </w:p>
        </w:tc>
        <w:tc>
          <w:tcPr>
            <w:tcW w:w="2547" w:type="dxa"/>
            <w:tcBorders>
              <w:top w:val="nil"/>
              <w:left w:val="nil"/>
              <w:bottom w:val="single" w:sz="4" w:space="0" w:color="auto"/>
              <w:right w:val="single" w:sz="8" w:space="0" w:color="auto"/>
            </w:tcBorders>
            <w:shd w:val="clear" w:color="000000" w:fill="D9D9D9"/>
            <w:noWrap/>
            <w:vAlign w:val="bottom"/>
            <w:hideMark/>
          </w:tcPr>
          <w:p w14:paraId="6594FE66"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0,303692308</w:t>
            </w:r>
          </w:p>
        </w:tc>
      </w:tr>
      <w:tr w:rsidR="00C85902" w:rsidRPr="005647E6" w14:paraId="6AF719F8"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65CF6108"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HT1197 M 1. Passage</w:t>
            </w:r>
          </w:p>
        </w:tc>
        <w:tc>
          <w:tcPr>
            <w:tcW w:w="1281" w:type="dxa"/>
            <w:tcBorders>
              <w:top w:val="nil"/>
              <w:left w:val="nil"/>
              <w:bottom w:val="single" w:sz="4" w:space="0" w:color="auto"/>
              <w:right w:val="single" w:sz="4" w:space="0" w:color="auto"/>
            </w:tcBorders>
            <w:shd w:val="clear" w:color="auto" w:fill="auto"/>
            <w:noWrap/>
            <w:vAlign w:val="bottom"/>
            <w:hideMark/>
          </w:tcPr>
          <w:p w14:paraId="5FCA695D"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99800</w:t>
            </w:r>
          </w:p>
        </w:tc>
        <w:tc>
          <w:tcPr>
            <w:tcW w:w="1634" w:type="dxa"/>
            <w:tcBorders>
              <w:top w:val="nil"/>
              <w:left w:val="nil"/>
              <w:bottom w:val="single" w:sz="4" w:space="0" w:color="auto"/>
              <w:right w:val="single" w:sz="4" w:space="0" w:color="auto"/>
            </w:tcBorders>
            <w:shd w:val="clear" w:color="auto" w:fill="auto"/>
            <w:noWrap/>
            <w:vAlign w:val="bottom"/>
            <w:hideMark/>
          </w:tcPr>
          <w:p w14:paraId="7338FF7B"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264000</w:t>
            </w:r>
          </w:p>
        </w:tc>
        <w:tc>
          <w:tcPr>
            <w:tcW w:w="2547" w:type="dxa"/>
            <w:tcBorders>
              <w:top w:val="nil"/>
              <w:left w:val="nil"/>
              <w:bottom w:val="single" w:sz="4" w:space="0" w:color="auto"/>
              <w:right w:val="single" w:sz="8" w:space="0" w:color="auto"/>
            </w:tcBorders>
            <w:shd w:val="clear" w:color="000000" w:fill="D9D9D9"/>
            <w:noWrap/>
            <w:vAlign w:val="bottom"/>
            <w:hideMark/>
          </w:tcPr>
          <w:p w14:paraId="6CAE04B2"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0,378030303</w:t>
            </w:r>
          </w:p>
        </w:tc>
      </w:tr>
      <w:tr w:rsidR="00C85902" w:rsidRPr="005647E6" w14:paraId="1A5F4674"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24AC424C"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HT1197 M 4. Passage</w:t>
            </w:r>
          </w:p>
        </w:tc>
        <w:tc>
          <w:tcPr>
            <w:tcW w:w="1281" w:type="dxa"/>
            <w:tcBorders>
              <w:top w:val="nil"/>
              <w:left w:val="nil"/>
              <w:bottom w:val="single" w:sz="4" w:space="0" w:color="auto"/>
              <w:right w:val="single" w:sz="4" w:space="0" w:color="auto"/>
            </w:tcBorders>
            <w:shd w:val="clear" w:color="auto" w:fill="auto"/>
            <w:noWrap/>
            <w:vAlign w:val="bottom"/>
            <w:hideMark/>
          </w:tcPr>
          <w:p w14:paraId="7F78132E"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108000</w:t>
            </w:r>
          </w:p>
        </w:tc>
        <w:tc>
          <w:tcPr>
            <w:tcW w:w="1634" w:type="dxa"/>
            <w:tcBorders>
              <w:top w:val="nil"/>
              <w:left w:val="nil"/>
              <w:bottom w:val="single" w:sz="4" w:space="0" w:color="auto"/>
              <w:right w:val="single" w:sz="4" w:space="0" w:color="auto"/>
            </w:tcBorders>
            <w:shd w:val="clear" w:color="auto" w:fill="auto"/>
            <w:noWrap/>
            <w:vAlign w:val="bottom"/>
            <w:hideMark/>
          </w:tcPr>
          <w:p w14:paraId="3C84C70B"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332000</w:t>
            </w:r>
          </w:p>
        </w:tc>
        <w:tc>
          <w:tcPr>
            <w:tcW w:w="2547" w:type="dxa"/>
            <w:tcBorders>
              <w:top w:val="nil"/>
              <w:left w:val="nil"/>
              <w:bottom w:val="single" w:sz="4" w:space="0" w:color="auto"/>
              <w:right w:val="single" w:sz="8" w:space="0" w:color="auto"/>
            </w:tcBorders>
            <w:shd w:val="clear" w:color="000000" w:fill="D9D9D9"/>
            <w:noWrap/>
            <w:vAlign w:val="bottom"/>
            <w:hideMark/>
          </w:tcPr>
          <w:p w14:paraId="4CD4CA3C"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0,325301205</w:t>
            </w:r>
          </w:p>
        </w:tc>
      </w:tr>
      <w:tr w:rsidR="00C85902" w:rsidRPr="005647E6" w14:paraId="21F0B5E9" w14:textId="77777777" w:rsidTr="00AF1B42">
        <w:trPr>
          <w:trHeight w:val="290"/>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14:paraId="541E7DC5"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281" w:type="dxa"/>
            <w:tcBorders>
              <w:top w:val="nil"/>
              <w:left w:val="nil"/>
              <w:bottom w:val="single" w:sz="4" w:space="0" w:color="auto"/>
              <w:right w:val="single" w:sz="4" w:space="0" w:color="auto"/>
            </w:tcBorders>
            <w:shd w:val="clear" w:color="auto" w:fill="auto"/>
            <w:noWrap/>
            <w:vAlign w:val="bottom"/>
            <w:hideMark/>
          </w:tcPr>
          <w:p w14:paraId="30CBE029"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1634" w:type="dxa"/>
            <w:tcBorders>
              <w:top w:val="nil"/>
              <w:left w:val="nil"/>
              <w:bottom w:val="single" w:sz="4" w:space="0" w:color="auto"/>
              <w:right w:val="single" w:sz="4" w:space="0" w:color="auto"/>
            </w:tcBorders>
            <w:shd w:val="clear" w:color="auto" w:fill="auto"/>
            <w:noWrap/>
            <w:vAlign w:val="bottom"/>
            <w:hideMark/>
          </w:tcPr>
          <w:p w14:paraId="18634676"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c>
          <w:tcPr>
            <w:tcW w:w="2547" w:type="dxa"/>
            <w:tcBorders>
              <w:top w:val="nil"/>
              <w:left w:val="nil"/>
              <w:bottom w:val="single" w:sz="4" w:space="0" w:color="auto"/>
              <w:right w:val="single" w:sz="8" w:space="0" w:color="auto"/>
            </w:tcBorders>
            <w:shd w:val="clear" w:color="auto" w:fill="auto"/>
            <w:noWrap/>
            <w:vAlign w:val="bottom"/>
            <w:hideMark/>
          </w:tcPr>
          <w:p w14:paraId="3392CDDF"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 </w:t>
            </w:r>
          </w:p>
        </w:tc>
      </w:tr>
      <w:tr w:rsidR="00C85902" w:rsidRPr="005647E6" w14:paraId="7E81DB7B" w14:textId="77777777" w:rsidTr="00AF1B42">
        <w:trPr>
          <w:trHeight w:val="290"/>
        </w:trPr>
        <w:tc>
          <w:tcPr>
            <w:tcW w:w="2117" w:type="dxa"/>
            <w:tcBorders>
              <w:top w:val="nil"/>
              <w:left w:val="single" w:sz="8" w:space="0" w:color="auto"/>
              <w:bottom w:val="single" w:sz="4" w:space="0" w:color="auto"/>
              <w:right w:val="single" w:sz="4" w:space="0" w:color="auto"/>
            </w:tcBorders>
            <w:shd w:val="clear" w:color="000000" w:fill="F2F2F2"/>
            <w:noWrap/>
            <w:vAlign w:val="bottom"/>
            <w:hideMark/>
          </w:tcPr>
          <w:p w14:paraId="2A7F7394"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HL20/31 OM</w:t>
            </w:r>
          </w:p>
        </w:tc>
        <w:tc>
          <w:tcPr>
            <w:tcW w:w="1281" w:type="dxa"/>
            <w:tcBorders>
              <w:top w:val="nil"/>
              <w:left w:val="nil"/>
              <w:bottom w:val="single" w:sz="4" w:space="0" w:color="auto"/>
              <w:right w:val="single" w:sz="4" w:space="0" w:color="auto"/>
            </w:tcBorders>
            <w:shd w:val="clear" w:color="auto" w:fill="auto"/>
            <w:noWrap/>
            <w:vAlign w:val="bottom"/>
            <w:hideMark/>
          </w:tcPr>
          <w:p w14:paraId="7681B6A0"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15700</w:t>
            </w:r>
          </w:p>
        </w:tc>
        <w:tc>
          <w:tcPr>
            <w:tcW w:w="1634" w:type="dxa"/>
            <w:tcBorders>
              <w:top w:val="nil"/>
              <w:left w:val="nil"/>
              <w:bottom w:val="single" w:sz="4" w:space="0" w:color="auto"/>
              <w:right w:val="single" w:sz="4" w:space="0" w:color="auto"/>
            </w:tcBorders>
            <w:shd w:val="clear" w:color="auto" w:fill="auto"/>
            <w:noWrap/>
            <w:vAlign w:val="bottom"/>
            <w:hideMark/>
          </w:tcPr>
          <w:p w14:paraId="69480B5D"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325000</w:t>
            </w:r>
          </w:p>
        </w:tc>
        <w:tc>
          <w:tcPr>
            <w:tcW w:w="2547" w:type="dxa"/>
            <w:tcBorders>
              <w:top w:val="nil"/>
              <w:left w:val="nil"/>
              <w:bottom w:val="single" w:sz="4" w:space="0" w:color="auto"/>
              <w:right w:val="single" w:sz="8" w:space="0" w:color="auto"/>
            </w:tcBorders>
            <w:shd w:val="clear" w:color="000000" w:fill="D9D9D9"/>
            <w:noWrap/>
            <w:vAlign w:val="bottom"/>
            <w:hideMark/>
          </w:tcPr>
          <w:p w14:paraId="0BE8D6B7"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0,048307692</w:t>
            </w:r>
          </w:p>
        </w:tc>
      </w:tr>
      <w:tr w:rsidR="00C85902" w:rsidRPr="005647E6" w14:paraId="1A3A0D1D" w14:textId="77777777" w:rsidTr="00AF1B42">
        <w:trPr>
          <w:trHeight w:val="300"/>
        </w:trPr>
        <w:tc>
          <w:tcPr>
            <w:tcW w:w="2117" w:type="dxa"/>
            <w:tcBorders>
              <w:top w:val="nil"/>
              <w:left w:val="single" w:sz="8" w:space="0" w:color="auto"/>
              <w:bottom w:val="single" w:sz="8" w:space="0" w:color="auto"/>
              <w:right w:val="single" w:sz="4" w:space="0" w:color="auto"/>
            </w:tcBorders>
            <w:shd w:val="clear" w:color="000000" w:fill="F2F2F2"/>
            <w:noWrap/>
            <w:vAlign w:val="bottom"/>
            <w:hideMark/>
          </w:tcPr>
          <w:p w14:paraId="56CDF5F1" w14:textId="77777777" w:rsidR="00C85902" w:rsidRPr="00F56146" w:rsidRDefault="00C85902" w:rsidP="00F56146">
            <w:pPr>
              <w:spacing w:after="0" w:line="240" w:lineRule="auto"/>
              <w:rPr>
                <w:rFonts w:eastAsia="Times New Roman" w:cs="Arial"/>
                <w:color w:val="000000"/>
                <w:sz w:val="18"/>
                <w:szCs w:val="18"/>
                <w:lang w:eastAsia="de-DE"/>
              </w:rPr>
            </w:pPr>
            <w:r w:rsidRPr="00F56146">
              <w:rPr>
                <w:rFonts w:eastAsia="Times New Roman" w:cs="Arial"/>
                <w:color w:val="000000"/>
                <w:sz w:val="18"/>
                <w:szCs w:val="18"/>
                <w:lang w:eastAsia="de-DE"/>
              </w:rPr>
              <w:t>HL20/31 M</w:t>
            </w:r>
          </w:p>
        </w:tc>
        <w:tc>
          <w:tcPr>
            <w:tcW w:w="1281" w:type="dxa"/>
            <w:tcBorders>
              <w:top w:val="nil"/>
              <w:left w:val="nil"/>
              <w:bottom w:val="single" w:sz="8" w:space="0" w:color="auto"/>
              <w:right w:val="single" w:sz="4" w:space="0" w:color="auto"/>
            </w:tcBorders>
            <w:shd w:val="clear" w:color="auto" w:fill="auto"/>
            <w:noWrap/>
            <w:vAlign w:val="bottom"/>
            <w:hideMark/>
          </w:tcPr>
          <w:p w14:paraId="36610CEC"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7140</w:t>
            </w:r>
          </w:p>
        </w:tc>
        <w:tc>
          <w:tcPr>
            <w:tcW w:w="1634" w:type="dxa"/>
            <w:tcBorders>
              <w:top w:val="nil"/>
              <w:left w:val="nil"/>
              <w:bottom w:val="single" w:sz="8" w:space="0" w:color="auto"/>
              <w:right w:val="single" w:sz="4" w:space="0" w:color="auto"/>
            </w:tcBorders>
            <w:shd w:val="clear" w:color="auto" w:fill="auto"/>
            <w:noWrap/>
            <w:vAlign w:val="bottom"/>
            <w:hideMark/>
          </w:tcPr>
          <w:p w14:paraId="44398291" w14:textId="77777777" w:rsidR="00C85902" w:rsidRPr="00F56146" w:rsidRDefault="00C85902" w:rsidP="00F56146">
            <w:pPr>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265000</w:t>
            </w:r>
          </w:p>
        </w:tc>
        <w:tc>
          <w:tcPr>
            <w:tcW w:w="2547" w:type="dxa"/>
            <w:tcBorders>
              <w:top w:val="nil"/>
              <w:left w:val="nil"/>
              <w:bottom w:val="single" w:sz="8" w:space="0" w:color="auto"/>
              <w:right w:val="single" w:sz="8" w:space="0" w:color="auto"/>
            </w:tcBorders>
            <w:shd w:val="clear" w:color="000000" w:fill="D9D9D9"/>
            <w:noWrap/>
            <w:vAlign w:val="bottom"/>
            <w:hideMark/>
          </w:tcPr>
          <w:p w14:paraId="6D52BD6E" w14:textId="77777777" w:rsidR="00C85902" w:rsidRPr="00F56146" w:rsidRDefault="00C85902" w:rsidP="00F56146">
            <w:pPr>
              <w:keepNext/>
              <w:spacing w:after="0" w:line="240" w:lineRule="auto"/>
              <w:jc w:val="right"/>
              <w:rPr>
                <w:rFonts w:eastAsia="Times New Roman" w:cs="Arial"/>
                <w:color w:val="000000"/>
                <w:sz w:val="18"/>
                <w:szCs w:val="18"/>
                <w:lang w:eastAsia="de-DE"/>
              </w:rPr>
            </w:pPr>
            <w:r w:rsidRPr="00F56146">
              <w:rPr>
                <w:rFonts w:eastAsia="Times New Roman" w:cs="Arial"/>
                <w:color w:val="000000"/>
                <w:sz w:val="18"/>
                <w:szCs w:val="18"/>
                <w:lang w:eastAsia="de-DE"/>
              </w:rPr>
              <w:t>0,026943396</w:t>
            </w:r>
          </w:p>
        </w:tc>
      </w:tr>
    </w:tbl>
    <w:p w14:paraId="4015D798" w14:textId="77777777" w:rsidR="00C85902" w:rsidRDefault="00C85902" w:rsidP="00834B6D">
      <w:pPr>
        <w:pStyle w:val="berschrift2"/>
      </w:pPr>
      <w:bookmarkStart w:id="199" w:name="_Toc121158684"/>
      <w:r>
        <w:t>Expression von CD276 an der Oberfläche von Mykoplasmen infizierten Urothelzellen im Vergleich mit nicht-infizierten Urothelzellen</w:t>
      </w:r>
      <w:bookmarkEnd w:id="199"/>
    </w:p>
    <w:p w14:paraId="20FCB5B1" w14:textId="099F823B" w:rsidR="00C85902" w:rsidRDefault="00C85902" w:rsidP="002B7E05">
      <w:r>
        <w:t xml:space="preserve">In der Durchflusszytometrie wurde die oberflächliche CD276 Expression der verschiedenen Zelllinien gemessen. Dabei wurden die Unterschiede zwischen den nicht-infizierten Zellen einer Zelllinie und den mit Mykoplasmen infizierten Zellen derselben Zelllinie erfasst. Jede der beiden Proben einer Zelllinie hatte jeweils eine zusätzliche Kontrolle, welche in </w:t>
      </w:r>
      <w:r>
        <w:fldChar w:fldCharType="begin"/>
      </w:r>
      <w:r>
        <w:instrText xml:space="preserve"> REF _Ref84942874 \h </w:instrText>
      </w:r>
      <w:r>
        <w:fldChar w:fldCharType="separate"/>
      </w:r>
      <w:r w:rsidR="00791554">
        <w:t xml:space="preserve">Abbildung </w:t>
      </w:r>
      <w:r w:rsidR="00791554">
        <w:rPr>
          <w:noProof/>
        </w:rPr>
        <w:t>26</w:t>
      </w:r>
      <w:r>
        <w:fldChar w:fldCharType="end"/>
      </w:r>
      <w:r>
        <w:t xml:space="preserve"> in grau dargestellt ist.</w:t>
      </w:r>
    </w:p>
    <w:p w14:paraId="19D3081E" w14:textId="721AB148" w:rsidR="00C85902" w:rsidRDefault="00C85902" w:rsidP="002B7E05">
      <w:r>
        <w:t xml:space="preserve">Zur Auswertung der Daten, die sich anhand der Durchflusszytometrie ergaben, wird im Folgenden besonders auf den Median und den Mittelwert (Mean) geachtet. Diese Werte der zentralen Tendenz ermöglichen einen Vergleich der Expression zwischen den mit Mykoplasmen infizierten und nicht-infizierten Zellen einer Zelllinie. Um diesen Vergleich zu verdeutlichen, wurden die Mittelwerten der CD276 Expression in </w:t>
      </w:r>
      <w:r>
        <w:fldChar w:fldCharType="begin"/>
      </w:r>
      <w:r>
        <w:instrText xml:space="preserve"> REF _Ref84943091 \h </w:instrText>
      </w:r>
      <w:r>
        <w:fldChar w:fldCharType="separate"/>
      </w:r>
      <w:r w:rsidR="00791554">
        <w:t xml:space="preserve">Abbildung </w:t>
      </w:r>
      <w:r w:rsidR="00791554">
        <w:rPr>
          <w:noProof/>
        </w:rPr>
        <w:t>25</w:t>
      </w:r>
      <w:r>
        <w:fldChar w:fldCharType="end"/>
      </w:r>
      <w:r>
        <w:t xml:space="preserve"> nochmals graphisch dargestellt. Aufgrund des schlechten Wachstums nach der dritten Passage war eine Analyse der aus Harnleitern isolierten Zellen HL 20/31 und HL 20/32 mittels Durchflusszytometrie nicht möglich und somit gibt es keine Analyse der Oberflächen Expression von CD276 dieser Zellen.</w:t>
      </w:r>
    </w:p>
    <w:p w14:paraId="4FEB1EF2" w14:textId="77777777" w:rsidR="00C85902" w:rsidRDefault="00C85902" w:rsidP="002B7E05">
      <w:r>
        <w:t xml:space="preserve">Auch hier ist festzuhalten, dass bei den Zelllinien T24 und Cal29 keine frische Infektion mit Mykoplasmen stattgefunden hatte, sondern die beiden Zelllinien bereits über einen längeren Zeitraum infiziert waren. Bei der Zelllinie Cal29 erfolgte die Durchflusszytometrie nach vier Wochen Zellkultur. Beim Vergleich der beiden Kulturen fiel auf, dass die mit Mykoplasmen infizierte Kultur eine deutlich geringere oberflächliche CD276 Expression aufwies als die Mykoplasmen-freie Kultur. </w:t>
      </w:r>
    </w:p>
    <w:p w14:paraId="0A0EFEA9" w14:textId="77777777" w:rsidR="00C85902" w:rsidRDefault="00C85902" w:rsidP="002B7E05">
      <w:r>
        <w:t>Bei der Zelllinie T24 war genau der gegenteilige Effekt zu beobachten, da hier die mit Mykoplasmen infizierten Zellen im Vergleich mit den Mykoplasmen-freien Zellen eine annähernd doppelt so hohe Expression an CD276 an der Oberfläche aufwiesen.</w:t>
      </w:r>
    </w:p>
    <w:p w14:paraId="7C4C5D93" w14:textId="77777777" w:rsidR="00C85902" w:rsidRDefault="00C85902" w:rsidP="002B7E05">
      <w:r>
        <w:t>HT1197 war die dritte Zelllinie, deren oberflächliche Expression von CD276 analysiert wurde. Bei diesen Zellen hatte eine frische Infektion mit Mykoplasmen stattgefunden und die Durchflusszytometrie fand acht Wochen nach der Infektion statt. Beim Vergleich fiel auf, dass die mit Mykoplasmen infizierten Zellen eine minimal höhere Expression von CD276 an der Oberfläche aufwiesen als die nicht-infizierten Zellen. Auffallend war auch, dass der Unterschied zwischen der mittleren Expression von CD276 bei HT1997 deutlich geringer ausfiel als bei den Zelllinien Cal29 und T24.</w:t>
      </w:r>
    </w:p>
    <w:p w14:paraId="18AEDBD9" w14:textId="77777777" w:rsidR="00C85902" w:rsidRDefault="00C85902" w:rsidP="00987924">
      <w:pPr>
        <w:keepNext/>
      </w:pPr>
      <w:r>
        <w:rPr>
          <w:noProof/>
        </w:rPr>
        <w:drawing>
          <wp:inline distT="0" distB="0" distL="0" distR="0" wp14:anchorId="2EDBE6A3" wp14:editId="452BD714">
            <wp:extent cx="4572000" cy="2743200"/>
            <wp:effectExtent l="0" t="0" r="0" b="0"/>
            <wp:docPr id="52" name="Diagramm 52">
              <a:extLst xmlns:a="http://schemas.openxmlformats.org/drawingml/2006/main">
                <a:ext uri="{FF2B5EF4-FFF2-40B4-BE49-F238E27FC236}">
                  <a16:creationId xmlns:a16="http://schemas.microsoft.com/office/drawing/2014/main" id="{A676B152-B5F0-43BB-A62D-FE52FC9BA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34C8A9" w14:textId="025FEE21" w:rsidR="00C85902" w:rsidRPr="00A32E91" w:rsidRDefault="00C85902" w:rsidP="00987924">
      <w:pPr>
        <w:pStyle w:val="Beschriftung"/>
        <w:rPr>
          <w:vanish/>
          <w:specVanish/>
        </w:rPr>
      </w:pPr>
      <w:bookmarkStart w:id="200" w:name="_Ref84943091"/>
      <w:bookmarkStart w:id="201" w:name="_Toc120649903"/>
      <w:r>
        <w:t xml:space="preserve">Abbildung </w:t>
      </w:r>
      <w:r>
        <w:fldChar w:fldCharType="begin"/>
      </w:r>
      <w:r>
        <w:instrText xml:space="preserve"> SEQ Abbildung \* ARABIC </w:instrText>
      </w:r>
      <w:r>
        <w:fldChar w:fldCharType="separate"/>
      </w:r>
      <w:r w:rsidR="00791554">
        <w:rPr>
          <w:noProof/>
        </w:rPr>
        <w:t>25</w:t>
      </w:r>
      <w:r>
        <w:rPr>
          <w:noProof/>
        </w:rPr>
        <w:fldChar w:fldCharType="end"/>
      </w:r>
      <w:bookmarkEnd w:id="200"/>
      <w:r>
        <w:t xml:space="preserve"> Mittelwerte der CD276 Oberflächen Protein Expression in der Durchflusszytometrie</w:t>
      </w:r>
      <w:bookmarkEnd w:id="201"/>
      <w:r>
        <w:t xml:space="preserve"> </w:t>
      </w:r>
    </w:p>
    <w:p w14:paraId="0F02B10C" w14:textId="319E7AA8" w:rsidR="00C85902" w:rsidRDefault="00C85902" w:rsidP="00987924">
      <w:pPr>
        <w:pStyle w:val="Beschriftung"/>
      </w:pPr>
      <w:r>
        <w:t xml:space="preserve"> </w:t>
      </w:r>
      <w:r>
        <w:br/>
        <w:t xml:space="preserve">In der Abbildung ist die oberflächliche Expression von CD276 für die kommerziellen </w:t>
      </w:r>
      <w:r w:rsidR="002521B9">
        <w:t>Tumorz</w:t>
      </w:r>
      <w:r>
        <w:t xml:space="preserve">elllinien Cal29, T24 und HT1197 dargestellt. Hierbei ist jeweils der direkte Vergleich, zwischen den mit Mykoplasmen infizierten und den nicht-infizierten Zellen der Zelllinien möglich. Es zeigt sich, dass bei Cal29 die Mykoplasmen infizierten Zellen eine geringere CD276 Expression haben als die gesunde Referenz. Bei T24 sieht es genau umgekehrt aus und bei HT1197 sieht man keinen signifikanten Unterschied. </w:t>
      </w:r>
      <w:r>
        <w:br/>
        <w:t xml:space="preserve">M: Mit Mykoplasmen   OM: Ohne Mykoplasmen  </w:t>
      </w:r>
    </w:p>
    <w:p w14:paraId="754ECEEE" w14:textId="77777777" w:rsidR="00C85902" w:rsidRDefault="00C85902" w:rsidP="002B7E05"/>
    <w:p w14:paraId="6B657BCA" w14:textId="77777777" w:rsidR="00C85902" w:rsidRDefault="00C85902" w:rsidP="00552D13">
      <w:pPr>
        <w:keepNext/>
      </w:pPr>
      <w:r>
        <w:rPr>
          <w:noProof/>
        </w:rPr>
        <w:drawing>
          <wp:inline distT="0" distB="0" distL="0" distR="0" wp14:anchorId="3DE6E844" wp14:editId="5E6955EA">
            <wp:extent cx="4799330" cy="790575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35">
                      <a:extLst>
                        <a:ext uri="{28A0092B-C50C-407E-A947-70E740481C1C}">
                          <a14:useLocalDpi xmlns:a14="http://schemas.microsoft.com/office/drawing/2010/main" val="0"/>
                        </a:ext>
                      </a:extLst>
                    </a:blip>
                    <a:srcRect t="2381" b="4957"/>
                    <a:stretch/>
                  </pic:blipFill>
                  <pic:spPr bwMode="auto">
                    <a:xfrm>
                      <a:off x="0" y="0"/>
                      <a:ext cx="4799330" cy="7905750"/>
                    </a:xfrm>
                    <a:prstGeom prst="rect">
                      <a:avLst/>
                    </a:prstGeom>
                    <a:ln>
                      <a:noFill/>
                    </a:ln>
                    <a:extLst>
                      <a:ext uri="{53640926-AAD7-44D8-BBD7-CCE9431645EC}">
                        <a14:shadowObscured xmlns:a14="http://schemas.microsoft.com/office/drawing/2010/main"/>
                      </a:ext>
                    </a:extLst>
                  </pic:spPr>
                </pic:pic>
              </a:graphicData>
            </a:graphic>
          </wp:inline>
        </w:drawing>
      </w:r>
    </w:p>
    <w:p w14:paraId="2F4AF3FD" w14:textId="4A7A3757" w:rsidR="00C85902" w:rsidRPr="0046193A" w:rsidRDefault="00C85902" w:rsidP="00552D13">
      <w:pPr>
        <w:pStyle w:val="Beschriftung"/>
        <w:rPr>
          <w:vanish/>
          <w:specVanish/>
        </w:rPr>
      </w:pPr>
      <w:bookmarkStart w:id="202" w:name="_Ref84942874"/>
      <w:bookmarkStart w:id="203" w:name="_Toc120649902"/>
      <w:bookmarkStart w:id="204" w:name="_Ref84942843"/>
      <w:r>
        <w:t xml:space="preserve">Abbildung </w:t>
      </w:r>
      <w:r>
        <w:fldChar w:fldCharType="begin"/>
      </w:r>
      <w:r>
        <w:instrText xml:space="preserve"> SEQ Abbildung \* ARABIC </w:instrText>
      </w:r>
      <w:r>
        <w:fldChar w:fldCharType="separate"/>
      </w:r>
      <w:r w:rsidR="00791554">
        <w:rPr>
          <w:noProof/>
        </w:rPr>
        <w:t>26</w:t>
      </w:r>
      <w:r>
        <w:rPr>
          <w:noProof/>
        </w:rPr>
        <w:fldChar w:fldCharType="end"/>
      </w:r>
      <w:bookmarkEnd w:id="202"/>
      <w:r>
        <w:t xml:space="preserve"> </w:t>
      </w:r>
      <w:r w:rsidRPr="00654737">
        <w:t>Übersicht der Durchflusszytometrie Ergebnisse der Zelllinien Cal29, T24 und HT1197.</w:t>
      </w:r>
      <w:bookmarkEnd w:id="203"/>
      <w:r w:rsidRPr="00654737">
        <w:t xml:space="preserve"> </w:t>
      </w:r>
    </w:p>
    <w:p w14:paraId="697EF145" w14:textId="77777777" w:rsidR="00C85902" w:rsidRDefault="00C85902" w:rsidP="00552D13">
      <w:pPr>
        <w:pStyle w:val="Beschriftung"/>
      </w:pPr>
      <w:r>
        <w:t xml:space="preserve"> </w:t>
      </w:r>
      <w:r>
        <w:br/>
        <w:t xml:space="preserve">Ergebnis der Messung der oberflächlichen Expression von CD276 in Cal29, T24 und HT1197 jeweils mit und ohne Mykoplasmeninfektion. </w:t>
      </w:r>
      <w:r w:rsidRPr="00654737">
        <w:t>Die Kontrolle der</w:t>
      </w:r>
      <w:r>
        <w:t xml:space="preserve"> jeweiligen</w:t>
      </w:r>
      <w:r w:rsidRPr="00654737">
        <w:t xml:space="preserve"> Probe </w:t>
      </w:r>
      <w:r>
        <w:t>ist</w:t>
      </w:r>
      <w:r w:rsidRPr="00654737">
        <w:t xml:space="preserve"> in grau dargestellt</w:t>
      </w:r>
      <w:bookmarkEnd w:id="204"/>
      <w:r>
        <w:t>.</w:t>
      </w:r>
    </w:p>
    <w:p w14:paraId="45FAE565" w14:textId="77777777" w:rsidR="00C85902" w:rsidRDefault="00C85902" w:rsidP="00073972"/>
    <w:p w14:paraId="453F1ACC" w14:textId="77777777" w:rsidR="00C85902" w:rsidRDefault="00C85902" w:rsidP="00C4389F">
      <w:pPr>
        <w:pStyle w:val="berschrift2"/>
      </w:pPr>
      <w:bookmarkStart w:id="205" w:name="_Toc121158685"/>
      <w:r>
        <w:t>Zusammenfassung und Überblick der Ergebnisse</w:t>
      </w:r>
      <w:bookmarkEnd w:id="205"/>
    </w:p>
    <w:p w14:paraId="20F3EC69" w14:textId="3C4E9AA3" w:rsidR="00C85902" w:rsidRDefault="00C85902" w:rsidP="00C4389F">
      <w:r>
        <w:t xml:space="preserve">Die Ergebnisse der unterschiedlichen Messungen sind für die jeweiligen </w:t>
      </w:r>
      <w:r w:rsidR="002521B9">
        <w:t>Tumorz</w:t>
      </w:r>
      <w:r>
        <w:t>elllinien und aus OP-Präparaten isolierten Harnleiterzellen in den folgenden Tabellen (</w:t>
      </w:r>
      <w:r>
        <w:fldChar w:fldCharType="begin"/>
      </w:r>
      <w:r>
        <w:instrText xml:space="preserve"> REF _Ref103520950 \h </w:instrText>
      </w:r>
      <w:r>
        <w:fldChar w:fldCharType="separate"/>
      </w:r>
      <w:r w:rsidR="00791554">
        <w:t xml:space="preserve">Tabelle </w:t>
      </w:r>
      <w:r w:rsidR="00791554">
        <w:rPr>
          <w:noProof/>
        </w:rPr>
        <w:t>31</w:t>
      </w:r>
      <w:r>
        <w:fldChar w:fldCharType="end"/>
      </w:r>
      <w:r>
        <w:t xml:space="preserve">, </w:t>
      </w:r>
      <w:r>
        <w:fldChar w:fldCharType="begin"/>
      </w:r>
      <w:r>
        <w:instrText xml:space="preserve"> REF _Ref103520953 \h </w:instrText>
      </w:r>
      <w:r>
        <w:fldChar w:fldCharType="separate"/>
      </w:r>
      <w:r w:rsidR="00791554">
        <w:t xml:space="preserve">Tabelle </w:t>
      </w:r>
      <w:r w:rsidR="00791554">
        <w:rPr>
          <w:noProof/>
        </w:rPr>
        <w:t>32</w:t>
      </w:r>
      <w:r>
        <w:fldChar w:fldCharType="end"/>
      </w:r>
      <w:r>
        <w:t xml:space="preserve">, </w:t>
      </w:r>
      <w:r>
        <w:fldChar w:fldCharType="begin"/>
      </w:r>
      <w:r>
        <w:instrText xml:space="preserve"> REF _Ref103520956 \h </w:instrText>
      </w:r>
      <w:r>
        <w:fldChar w:fldCharType="separate"/>
      </w:r>
      <w:r w:rsidR="00791554">
        <w:t xml:space="preserve">Tabelle </w:t>
      </w:r>
      <w:r w:rsidR="00791554">
        <w:rPr>
          <w:noProof/>
        </w:rPr>
        <w:t>33</w:t>
      </w:r>
      <w:r>
        <w:fldChar w:fldCharType="end"/>
      </w:r>
      <w:r>
        <w:t xml:space="preserve">, </w:t>
      </w:r>
      <w:r>
        <w:fldChar w:fldCharType="begin"/>
      </w:r>
      <w:r>
        <w:instrText xml:space="preserve"> REF _Ref103520957 \h </w:instrText>
      </w:r>
      <w:r>
        <w:fldChar w:fldCharType="separate"/>
      </w:r>
      <w:r w:rsidR="00791554">
        <w:t xml:space="preserve">Tabelle </w:t>
      </w:r>
      <w:r w:rsidR="00791554">
        <w:rPr>
          <w:noProof/>
        </w:rPr>
        <w:t>34</w:t>
      </w:r>
      <w:r>
        <w:fldChar w:fldCharType="end"/>
      </w:r>
      <w:r>
        <w:t xml:space="preserve"> und </w:t>
      </w:r>
      <w:r>
        <w:fldChar w:fldCharType="begin"/>
      </w:r>
      <w:r>
        <w:instrText xml:space="preserve"> REF _Ref103520959 \h </w:instrText>
      </w:r>
      <w:r>
        <w:fldChar w:fldCharType="separate"/>
      </w:r>
      <w:r w:rsidR="00791554">
        <w:t xml:space="preserve">Tabelle </w:t>
      </w:r>
      <w:r w:rsidR="00791554">
        <w:rPr>
          <w:noProof/>
        </w:rPr>
        <w:t>35</w:t>
      </w:r>
      <w:r>
        <w:fldChar w:fldCharType="end"/>
      </w:r>
      <w:r>
        <w:t>) zusammengefasst.</w:t>
      </w:r>
    </w:p>
    <w:p w14:paraId="48C14BFD" w14:textId="284157DB" w:rsidR="00C85902" w:rsidRDefault="00C85902" w:rsidP="00C4389F">
      <w:pPr>
        <w:pStyle w:val="Beschriftung"/>
        <w:keepNext/>
      </w:pPr>
      <w:bookmarkStart w:id="206" w:name="_Ref103520950"/>
      <w:bookmarkStart w:id="207" w:name="_Toc120649873"/>
      <w:r>
        <w:t xml:space="preserve">Tabelle </w:t>
      </w:r>
      <w:r>
        <w:fldChar w:fldCharType="begin"/>
      </w:r>
      <w:r>
        <w:instrText xml:space="preserve"> SEQ Tabelle \* ARABIC </w:instrText>
      </w:r>
      <w:r>
        <w:fldChar w:fldCharType="separate"/>
      </w:r>
      <w:r w:rsidR="00791554">
        <w:rPr>
          <w:noProof/>
        </w:rPr>
        <w:t>31</w:t>
      </w:r>
      <w:r>
        <w:rPr>
          <w:noProof/>
        </w:rPr>
        <w:fldChar w:fldCharType="end"/>
      </w:r>
      <w:bookmarkEnd w:id="206"/>
      <w:r>
        <w:t xml:space="preserve"> Ergebnisübersicht der CD276 Expression auf unterschiedlichen Ebenen in T24</w:t>
      </w:r>
      <w:bookmarkEnd w:id="207"/>
    </w:p>
    <w:tbl>
      <w:tblPr>
        <w:tblStyle w:val="EinfacheTabelle1"/>
        <w:tblW w:w="0" w:type="auto"/>
        <w:tblLook w:val="04A0" w:firstRow="1" w:lastRow="0" w:firstColumn="1" w:lastColumn="0" w:noHBand="0" w:noVBand="1"/>
      </w:tblPr>
      <w:tblGrid>
        <w:gridCol w:w="2670"/>
        <w:gridCol w:w="5824"/>
      </w:tblGrid>
      <w:tr w:rsidR="00C85902" w14:paraId="5027E07B" w14:textId="77777777" w:rsidTr="00630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3A8D0C91" w14:textId="77777777" w:rsidR="00C85902" w:rsidRDefault="00C85902" w:rsidP="00630390">
            <w:pPr>
              <w:jc w:val="center"/>
            </w:pPr>
            <w:r>
              <w:t>T24</w:t>
            </w:r>
          </w:p>
        </w:tc>
      </w:tr>
      <w:tr w:rsidR="00C85902" w14:paraId="45DD02C9"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DBA54D" w14:textId="77777777" w:rsidR="00C85902" w:rsidRDefault="00C85902" w:rsidP="00630390">
            <w:r>
              <w:t>Morphologie und Proliferationsrate</w:t>
            </w:r>
          </w:p>
        </w:tc>
        <w:tc>
          <w:tcPr>
            <w:tcW w:w="6231" w:type="dxa"/>
          </w:tcPr>
          <w:p w14:paraId="196153EA"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Mit Mykoplasmen infizierte Zellen wiesen eine schnellere Proliferationsrate auf und waren morphologisch größer. Im Verlauf zeigten die infizierten Zellen aber deutlich höhere Raten an Zelltod und ein weniger kohärentes Wachstum als die nicht-infizierten Zellen.</w:t>
            </w:r>
          </w:p>
        </w:tc>
      </w:tr>
      <w:tr w:rsidR="00C85902" w14:paraId="34602415"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4AC0BD7F" w14:textId="77777777" w:rsidR="00C85902" w:rsidRDefault="00C85902" w:rsidP="00630390">
            <w:r>
              <w:t>CD276 mRNA Expression</w:t>
            </w:r>
          </w:p>
        </w:tc>
        <w:tc>
          <w:tcPr>
            <w:tcW w:w="6231" w:type="dxa"/>
          </w:tcPr>
          <w:p w14:paraId="5F32A13A"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 xml:space="preserve">Die mit Mykoplasmen infizierten Zellen wiesen durchschnittlich eine größere Menge an CD276 mRNA auf. </w:t>
            </w:r>
          </w:p>
        </w:tc>
      </w:tr>
      <w:tr w:rsidR="00C85902" w14:paraId="2B5C3765"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5516B0" w14:textId="77777777" w:rsidR="00C85902" w:rsidRDefault="00C85902" w:rsidP="00630390">
            <w:r>
              <w:t xml:space="preserve">Western Blot Analyse der CD276 Protein Expression </w:t>
            </w:r>
          </w:p>
        </w:tc>
        <w:tc>
          <w:tcPr>
            <w:tcW w:w="6231" w:type="dxa"/>
          </w:tcPr>
          <w:p w14:paraId="46544EB4"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Die CD276 Protein Expression war in den nicht-infizierten Zellen höher als in den mit Mykoplasmen infizierten.</w:t>
            </w:r>
          </w:p>
        </w:tc>
      </w:tr>
      <w:tr w:rsidR="00C85902" w14:paraId="5E285813"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0BC5D5AB" w14:textId="77777777" w:rsidR="00C85902" w:rsidRDefault="00C85902" w:rsidP="00630390">
            <w:r>
              <w:t>Oberflächen Expression von CD276 in der Durchflusszytometrie (FACS)</w:t>
            </w:r>
          </w:p>
        </w:tc>
        <w:tc>
          <w:tcPr>
            <w:tcW w:w="6231" w:type="dxa"/>
          </w:tcPr>
          <w:p w14:paraId="3FA2A889"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Die infizierten Zellen hatten im Vergleich zu den nicht-infizierten eine annähernd doppelt so hohe Expression an oberflächlichen CD276 Protein.</w:t>
            </w:r>
          </w:p>
        </w:tc>
      </w:tr>
    </w:tbl>
    <w:p w14:paraId="4CC7B59B" w14:textId="77777777" w:rsidR="00C85902" w:rsidRDefault="00C85902" w:rsidP="00C4389F"/>
    <w:p w14:paraId="248ED9F2" w14:textId="21F5BB51" w:rsidR="00C85902" w:rsidRDefault="00C85902" w:rsidP="00C4389F">
      <w:pPr>
        <w:pStyle w:val="Beschriftung"/>
        <w:keepNext/>
      </w:pPr>
      <w:bookmarkStart w:id="208" w:name="_Ref103520953"/>
      <w:bookmarkStart w:id="209" w:name="_Toc120649874"/>
      <w:r>
        <w:t xml:space="preserve">Tabelle </w:t>
      </w:r>
      <w:r>
        <w:fldChar w:fldCharType="begin"/>
      </w:r>
      <w:r>
        <w:instrText xml:space="preserve"> SEQ Tabelle \* ARABIC </w:instrText>
      </w:r>
      <w:r>
        <w:fldChar w:fldCharType="separate"/>
      </w:r>
      <w:r w:rsidR="00791554">
        <w:rPr>
          <w:noProof/>
        </w:rPr>
        <w:t>32</w:t>
      </w:r>
      <w:r>
        <w:rPr>
          <w:noProof/>
        </w:rPr>
        <w:fldChar w:fldCharType="end"/>
      </w:r>
      <w:bookmarkEnd w:id="208"/>
      <w:r>
        <w:t xml:space="preserve"> </w:t>
      </w:r>
      <w:r w:rsidRPr="00410DED">
        <w:t xml:space="preserve">Ergebnisübersicht der CD276 Expression auf unterschiedlichen Ebenen in </w:t>
      </w:r>
      <w:r>
        <w:t>Cal29</w:t>
      </w:r>
      <w:bookmarkEnd w:id="209"/>
    </w:p>
    <w:tbl>
      <w:tblPr>
        <w:tblStyle w:val="EinfacheTabelle1"/>
        <w:tblW w:w="0" w:type="auto"/>
        <w:tblLook w:val="04A0" w:firstRow="1" w:lastRow="0" w:firstColumn="1" w:lastColumn="0" w:noHBand="0" w:noVBand="1"/>
      </w:tblPr>
      <w:tblGrid>
        <w:gridCol w:w="2670"/>
        <w:gridCol w:w="5824"/>
      </w:tblGrid>
      <w:tr w:rsidR="00C85902" w14:paraId="544B6EB6" w14:textId="77777777" w:rsidTr="00630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174BDC34" w14:textId="77777777" w:rsidR="00C85902" w:rsidRDefault="00C85902" w:rsidP="00630390">
            <w:pPr>
              <w:jc w:val="center"/>
            </w:pPr>
            <w:r>
              <w:t>Cal29</w:t>
            </w:r>
          </w:p>
        </w:tc>
      </w:tr>
      <w:tr w:rsidR="00C85902" w14:paraId="3983EB46"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E32251" w14:textId="77777777" w:rsidR="00C85902" w:rsidRDefault="00C85902" w:rsidP="00630390">
            <w:r>
              <w:t>Morphologie und Proliferationsrate</w:t>
            </w:r>
          </w:p>
        </w:tc>
        <w:tc>
          <w:tcPr>
            <w:tcW w:w="6231" w:type="dxa"/>
          </w:tcPr>
          <w:p w14:paraId="60A87456"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 xml:space="preserve">Mit Mykoplasmen infizierte Zellen wiesen eine schnellere Proliferationsrate auf und waren morphologisch kleiner und weniger kohärent als die nicht-infizierten Zellen und wiesen einen vermehrt apoptotische Zellen auf. </w:t>
            </w:r>
          </w:p>
        </w:tc>
      </w:tr>
      <w:tr w:rsidR="00C85902" w14:paraId="3E72A496"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14E5A2B7" w14:textId="77777777" w:rsidR="00C85902" w:rsidRDefault="00C85902" w:rsidP="00630390">
            <w:r>
              <w:t>CD276 mRNA Expression</w:t>
            </w:r>
          </w:p>
        </w:tc>
        <w:tc>
          <w:tcPr>
            <w:tcW w:w="6231" w:type="dxa"/>
          </w:tcPr>
          <w:p w14:paraId="48A0087E"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Die infizierten Zellen hatten eine deutlich geringere CD276 mRNA Expression als die nicht-infizierten Zellen. Die nicht-infizieren wiesen eine deutlich größere (annähernd doppelt so große) Expression an CD276 mRNA auf.</w:t>
            </w:r>
          </w:p>
        </w:tc>
      </w:tr>
      <w:tr w:rsidR="00C85902" w14:paraId="7F84284D"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20EE06" w14:textId="77777777" w:rsidR="00C85902" w:rsidRDefault="00C85902" w:rsidP="00630390">
            <w:r>
              <w:t>Western Blot Analyse der CD276 Protein Expression</w:t>
            </w:r>
          </w:p>
        </w:tc>
        <w:tc>
          <w:tcPr>
            <w:tcW w:w="6231" w:type="dxa"/>
          </w:tcPr>
          <w:p w14:paraId="3D584CB9"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 xml:space="preserve">Die mit Mykoplasmen infizierten Zellen wiesen einen geringeren Gehalt an CD276 Protein auf. </w:t>
            </w:r>
          </w:p>
        </w:tc>
      </w:tr>
      <w:tr w:rsidR="00C85902" w14:paraId="46935496"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0C0AFCAD" w14:textId="77777777" w:rsidR="00C85902" w:rsidRDefault="00C85902" w:rsidP="00630390">
            <w:r>
              <w:t>Oberflächen Expression von CD276 in der Durchflusszytometrie (FACS)</w:t>
            </w:r>
          </w:p>
        </w:tc>
        <w:tc>
          <w:tcPr>
            <w:tcW w:w="6231" w:type="dxa"/>
          </w:tcPr>
          <w:p w14:paraId="1C8C1F23"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Die infizierten Zellen hatten einen geringeren Gehalt an oberflächlich exprimierten CD276. Die nicht-infizierten Zellen wiesen eine deutlich höhere (annähernd doppelt so große) oberflächliche CD276 Expression auf.</w:t>
            </w:r>
          </w:p>
        </w:tc>
      </w:tr>
    </w:tbl>
    <w:p w14:paraId="1D20D44A" w14:textId="77777777" w:rsidR="00C85902" w:rsidRDefault="00C85902" w:rsidP="00C4389F"/>
    <w:p w14:paraId="0F7CCD8A" w14:textId="785A4389" w:rsidR="00C85902" w:rsidRDefault="00C85902" w:rsidP="00C4389F">
      <w:pPr>
        <w:pStyle w:val="Beschriftung"/>
        <w:keepNext/>
      </w:pPr>
      <w:bookmarkStart w:id="210" w:name="_Ref103520956"/>
      <w:bookmarkStart w:id="211" w:name="_Toc120649875"/>
      <w:r>
        <w:t xml:space="preserve">Tabelle </w:t>
      </w:r>
      <w:r>
        <w:fldChar w:fldCharType="begin"/>
      </w:r>
      <w:r>
        <w:instrText xml:space="preserve"> SEQ Tabelle \* ARABIC </w:instrText>
      </w:r>
      <w:r>
        <w:fldChar w:fldCharType="separate"/>
      </w:r>
      <w:r w:rsidR="00791554">
        <w:rPr>
          <w:noProof/>
        </w:rPr>
        <w:t>33</w:t>
      </w:r>
      <w:r>
        <w:rPr>
          <w:noProof/>
        </w:rPr>
        <w:fldChar w:fldCharType="end"/>
      </w:r>
      <w:bookmarkEnd w:id="210"/>
      <w:r>
        <w:t xml:space="preserve"> </w:t>
      </w:r>
      <w:r w:rsidRPr="000B5F47">
        <w:t>Ergebnisübersicht der CD276 Exp</w:t>
      </w:r>
      <w:r>
        <w:t>r</w:t>
      </w:r>
      <w:r w:rsidRPr="000B5F47">
        <w:t xml:space="preserve">ession auf unterschiedlichen Ebenen in </w:t>
      </w:r>
      <w:r>
        <w:t>HT1197</w:t>
      </w:r>
      <w:bookmarkEnd w:id="211"/>
    </w:p>
    <w:tbl>
      <w:tblPr>
        <w:tblStyle w:val="EinfacheTabelle1"/>
        <w:tblW w:w="0" w:type="auto"/>
        <w:tblLook w:val="04A0" w:firstRow="1" w:lastRow="0" w:firstColumn="1" w:lastColumn="0" w:noHBand="0" w:noVBand="1"/>
      </w:tblPr>
      <w:tblGrid>
        <w:gridCol w:w="2670"/>
        <w:gridCol w:w="5824"/>
      </w:tblGrid>
      <w:tr w:rsidR="00C85902" w14:paraId="28C9F250" w14:textId="77777777" w:rsidTr="00630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41E5D284" w14:textId="77777777" w:rsidR="00C85902" w:rsidRDefault="00C85902" w:rsidP="00630390">
            <w:pPr>
              <w:jc w:val="center"/>
            </w:pPr>
            <w:r>
              <w:t>HT1197</w:t>
            </w:r>
          </w:p>
        </w:tc>
      </w:tr>
      <w:tr w:rsidR="00C85902" w14:paraId="5D95B034"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61B12A" w14:textId="77777777" w:rsidR="00C85902" w:rsidRDefault="00C85902" w:rsidP="00630390">
            <w:r>
              <w:t>Morphologie und Proliferationsrate</w:t>
            </w:r>
          </w:p>
        </w:tc>
        <w:tc>
          <w:tcPr>
            <w:tcW w:w="6231" w:type="dxa"/>
          </w:tcPr>
          <w:p w14:paraId="4CD68ABF"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Mit Mykoplasmen infizierte Zellen wuchsen annähernd gleich schnell wie nicht-infizierte Zellen, waren jedoch im Vergleich zu den nicht-infizierten Zellen deutlich kleiner und bildeten kleinere kohärente Zellverbände.</w:t>
            </w:r>
          </w:p>
        </w:tc>
      </w:tr>
      <w:tr w:rsidR="00C85902" w14:paraId="4FA44C82"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5295AD88" w14:textId="77777777" w:rsidR="00C85902" w:rsidRDefault="00C85902" w:rsidP="00630390">
            <w:r>
              <w:t>CD276 mRNA Expression</w:t>
            </w:r>
          </w:p>
        </w:tc>
        <w:tc>
          <w:tcPr>
            <w:tcW w:w="6231" w:type="dxa"/>
          </w:tcPr>
          <w:p w14:paraId="532F10CC"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Im Verlauf war keine klare Tendenz der CD276 mRNA Expression erkennbar, aber insgesamt wurde eine minimal größere Expression in den mit Mykoplasmen infizierten Zellen beobachtet.</w:t>
            </w:r>
          </w:p>
        </w:tc>
      </w:tr>
      <w:tr w:rsidR="00C85902" w14:paraId="59627C4E"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17EE5E" w14:textId="77777777" w:rsidR="00C85902" w:rsidRDefault="00C85902" w:rsidP="00630390">
            <w:r>
              <w:t>Western Blot Analyse der CD276 Protein Expression</w:t>
            </w:r>
          </w:p>
        </w:tc>
        <w:tc>
          <w:tcPr>
            <w:tcW w:w="6231" w:type="dxa"/>
          </w:tcPr>
          <w:p w14:paraId="4A206F81"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Nach der ersten Passage nach der Infektion wiesen die infizierten Zellen eine höhere Konzentration an CD276 Protein auf als die nicht-infizierten Zellen. Im Verlauf wiesen die infizierten Zellen einen ähnlichen CD276 Proteingehalt wie die nicht-infizierten Zellen auf.</w:t>
            </w:r>
          </w:p>
        </w:tc>
      </w:tr>
      <w:tr w:rsidR="00C85902" w14:paraId="7453D584"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3247B160" w14:textId="77777777" w:rsidR="00C85902" w:rsidRDefault="00C85902" w:rsidP="00630390">
            <w:r>
              <w:t>Oberflächen Expression von CD276 in der Durchflusszytometrie (FACS)</w:t>
            </w:r>
          </w:p>
        </w:tc>
        <w:tc>
          <w:tcPr>
            <w:tcW w:w="6231" w:type="dxa"/>
          </w:tcPr>
          <w:p w14:paraId="036C7F14"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Die mit Mykoplasmen infizierten Zellen wiesen im Vergleich zu den nicht-infizierten Zellen eine leicht erhöhte Expression an oberflächlichen CD276 auf.</w:t>
            </w:r>
          </w:p>
        </w:tc>
      </w:tr>
    </w:tbl>
    <w:p w14:paraId="4F330C15" w14:textId="77777777" w:rsidR="00C85902" w:rsidRDefault="00C85902" w:rsidP="00C4389F"/>
    <w:p w14:paraId="74636774" w14:textId="77777777" w:rsidR="00C85902" w:rsidRDefault="00C85902" w:rsidP="00C4389F"/>
    <w:p w14:paraId="2484C793" w14:textId="77777777" w:rsidR="00C85902" w:rsidRDefault="00C85902" w:rsidP="00C4389F"/>
    <w:p w14:paraId="14E924C0" w14:textId="3B301730" w:rsidR="00C85902" w:rsidRDefault="00C85902" w:rsidP="00C4389F">
      <w:pPr>
        <w:pStyle w:val="Beschriftung"/>
        <w:keepNext/>
      </w:pPr>
      <w:bookmarkStart w:id="212" w:name="_Ref103520957"/>
      <w:bookmarkStart w:id="213" w:name="_Toc120649876"/>
      <w:r>
        <w:t xml:space="preserve">Tabelle </w:t>
      </w:r>
      <w:r>
        <w:fldChar w:fldCharType="begin"/>
      </w:r>
      <w:r>
        <w:instrText xml:space="preserve"> SEQ Tabelle \* ARABIC </w:instrText>
      </w:r>
      <w:r>
        <w:fldChar w:fldCharType="separate"/>
      </w:r>
      <w:r w:rsidR="00791554">
        <w:rPr>
          <w:noProof/>
        </w:rPr>
        <w:t>34</w:t>
      </w:r>
      <w:r>
        <w:rPr>
          <w:noProof/>
        </w:rPr>
        <w:fldChar w:fldCharType="end"/>
      </w:r>
      <w:bookmarkEnd w:id="212"/>
      <w:r>
        <w:t xml:space="preserve"> </w:t>
      </w:r>
      <w:r w:rsidRPr="00B47FC3">
        <w:t>Ergebnisübersicht der CD276 Exp</w:t>
      </w:r>
      <w:r>
        <w:t>r</w:t>
      </w:r>
      <w:r w:rsidRPr="00B47FC3">
        <w:t xml:space="preserve">ession auf unterschiedlichen Ebenen in </w:t>
      </w:r>
      <w:r>
        <w:t>Harnleiter 20/31</w:t>
      </w:r>
      <w:bookmarkEnd w:id="213"/>
    </w:p>
    <w:tbl>
      <w:tblPr>
        <w:tblStyle w:val="EinfacheTabelle1"/>
        <w:tblW w:w="0" w:type="auto"/>
        <w:tblLook w:val="04A0" w:firstRow="1" w:lastRow="0" w:firstColumn="1" w:lastColumn="0" w:noHBand="0" w:noVBand="1"/>
      </w:tblPr>
      <w:tblGrid>
        <w:gridCol w:w="2670"/>
        <w:gridCol w:w="5824"/>
      </w:tblGrid>
      <w:tr w:rsidR="00C85902" w14:paraId="0B52B27E" w14:textId="77777777" w:rsidTr="00630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4F33A521" w14:textId="77777777" w:rsidR="00C85902" w:rsidRDefault="00C85902" w:rsidP="00630390">
            <w:pPr>
              <w:jc w:val="center"/>
            </w:pPr>
            <w:r>
              <w:t>HL20/31 (Zellen aus einem tumorfreien Harnleiter)</w:t>
            </w:r>
          </w:p>
        </w:tc>
      </w:tr>
      <w:tr w:rsidR="00C85902" w14:paraId="7DE94FD5"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963488" w14:textId="77777777" w:rsidR="00C85902" w:rsidRDefault="00C85902" w:rsidP="00630390">
            <w:r>
              <w:t>Morphologie und Proliferationsrate</w:t>
            </w:r>
          </w:p>
        </w:tc>
        <w:tc>
          <w:tcPr>
            <w:tcW w:w="6231" w:type="dxa"/>
          </w:tcPr>
          <w:p w14:paraId="636A3E6A"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 xml:space="preserve">Mit Mykoplasmen infizierte Zellen wiesen im Vergleich zu den nicht-infizierten Zellen im Verlauf eine deutlich kleinere Zellgröße und ein weniger kohärentes Wachstum mit höheren Zelltod Raten auf.  </w:t>
            </w:r>
          </w:p>
        </w:tc>
      </w:tr>
      <w:tr w:rsidR="00C85902" w14:paraId="349A33A7"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7AA88AB9" w14:textId="77777777" w:rsidR="00C85902" w:rsidRDefault="00C85902" w:rsidP="00630390">
            <w:r>
              <w:t>CD276 mRNA Expression</w:t>
            </w:r>
          </w:p>
        </w:tc>
        <w:tc>
          <w:tcPr>
            <w:tcW w:w="6231" w:type="dxa"/>
          </w:tcPr>
          <w:p w14:paraId="2EDECE39"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Die nicht-infizierten Zellen wiesen im Vergleich zu den mit Mykoplasmen infizierten Zellen eine annähernd doppelt so große Menge an CD276 mRNA auf.</w:t>
            </w:r>
          </w:p>
        </w:tc>
      </w:tr>
      <w:tr w:rsidR="00C85902" w14:paraId="7CE4EDAD"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BC6A6F" w14:textId="77777777" w:rsidR="00C85902" w:rsidRDefault="00C85902" w:rsidP="00630390">
            <w:r>
              <w:t>Western Blot Analyse der CD276 Protein Expression</w:t>
            </w:r>
          </w:p>
        </w:tc>
        <w:tc>
          <w:tcPr>
            <w:tcW w:w="6231" w:type="dxa"/>
          </w:tcPr>
          <w:p w14:paraId="494BD2DB"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Die nicht-infizierten Zellen wiesen eine höhere CD276 Protein Konzentration auf als die mit Mykoplasmen infizierten Zellen.</w:t>
            </w:r>
          </w:p>
        </w:tc>
      </w:tr>
      <w:tr w:rsidR="00C85902" w14:paraId="5DBE51A7"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757F090B" w14:textId="77777777" w:rsidR="00C85902" w:rsidRDefault="00C85902" w:rsidP="00630390">
            <w:r>
              <w:t>Oberflächen Expression von CD276 in der Durchflusszytometrie (FACS)</w:t>
            </w:r>
          </w:p>
        </w:tc>
        <w:tc>
          <w:tcPr>
            <w:tcW w:w="6231" w:type="dxa"/>
          </w:tcPr>
          <w:p w14:paraId="258AED4C"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Aufgrund einer zu geringen Zellmenge war keine Beurteilung der Oberflächen Expression von CD276 möglich.</w:t>
            </w:r>
          </w:p>
        </w:tc>
      </w:tr>
    </w:tbl>
    <w:p w14:paraId="694F53B9" w14:textId="77777777" w:rsidR="00C85902" w:rsidRDefault="00C85902" w:rsidP="00C4389F"/>
    <w:p w14:paraId="234BDB2B" w14:textId="05F0A771" w:rsidR="00C85902" w:rsidRDefault="00C85902" w:rsidP="00C4389F">
      <w:pPr>
        <w:pStyle w:val="Beschriftung"/>
        <w:keepNext/>
      </w:pPr>
      <w:bookmarkStart w:id="214" w:name="_Ref103520959"/>
      <w:bookmarkStart w:id="215" w:name="_Toc120649877"/>
      <w:r>
        <w:t xml:space="preserve">Tabelle </w:t>
      </w:r>
      <w:r>
        <w:fldChar w:fldCharType="begin"/>
      </w:r>
      <w:r>
        <w:instrText xml:space="preserve"> SEQ Tabelle \* ARABIC </w:instrText>
      </w:r>
      <w:r>
        <w:fldChar w:fldCharType="separate"/>
      </w:r>
      <w:r w:rsidR="00791554">
        <w:rPr>
          <w:noProof/>
        </w:rPr>
        <w:t>35</w:t>
      </w:r>
      <w:r>
        <w:rPr>
          <w:noProof/>
        </w:rPr>
        <w:fldChar w:fldCharType="end"/>
      </w:r>
      <w:bookmarkEnd w:id="214"/>
      <w:r>
        <w:t xml:space="preserve"> </w:t>
      </w:r>
      <w:r w:rsidRPr="00335369">
        <w:t xml:space="preserve">Ergebnisübersicht der CD276 Expession auf unterschiedlichen Ebenen in </w:t>
      </w:r>
      <w:r>
        <w:t>Harnleiter 20/32</w:t>
      </w:r>
      <w:bookmarkEnd w:id="215"/>
    </w:p>
    <w:tbl>
      <w:tblPr>
        <w:tblStyle w:val="EinfacheTabelle1"/>
        <w:tblW w:w="0" w:type="auto"/>
        <w:tblLook w:val="04A0" w:firstRow="1" w:lastRow="0" w:firstColumn="1" w:lastColumn="0" w:noHBand="0" w:noVBand="1"/>
      </w:tblPr>
      <w:tblGrid>
        <w:gridCol w:w="2670"/>
        <w:gridCol w:w="5824"/>
      </w:tblGrid>
      <w:tr w:rsidR="00C85902" w14:paraId="652B4FF8" w14:textId="77777777" w:rsidTr="00630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14:paraId="3023B6DF" w14:textId="77777777" w:rsidR="00C85902" w:rsidRDefault="00C85902" w:rsidP="00630390">
            <w:pPr>
              <w:jc w:val="center"/>
            </w:pPr>
            <w:r>
              <w:t>HL20/32 (Zellen aus Harnleiter mit Tumor)</w:t>
            </w:r>
          </w:p>
        </w:tc>
      </w:tr>
      <w:tr w:rsidR="00C85902" w14:paraId="27CF86C3"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A7B775" w14:textId="77777777" w:rsidR="00C85902" w:rsidRDefault="00C85902" w:rsidP="00630390">
            <w:r>
              <w:t>Morphologie und Proliferationsrate</w:t>
            </w:r>
          </w:p>
        </w:tc>
        <w:tc>
          <w:tcPr>
            <w:tcW w:w="6231" w:type="dxa"/>
          </w:tcPr>
          <w:p w14:paraId="4235DF97"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Mit Mykoplasmen infizierte Zellen wiesen im Vergleich zu den nicht-infizierten Zellen deutlich mehr Zelltod und ein weniger kohärentes Wachstum auf. Im Verlauf kam es bei den infizierten Zellen zu einer Atrophie.</w:t>
            </w:r>
          </w:p>
        </w:tc>
      </w:tr>
      <w:tr w:rsidR="00C85902" w14:paraId="3835A89D"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5F71B7B0" w14:textId="77777777" w:rsidR="00C85902" w:rsidRDefault="00C85902" w:rsidP="00630390">
            <w:r>
              <w:t>CD276 mRNA Expression</w:t>
            </w:r>
          </w:p>
        </w:tc>
        <w:tc>
          <w:tcPr>
            <w:tcW w:w="6231" w:type="dxa"/>
          </w:tcPr>
          <w:p w14:paraId="28A0B467"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 xml:space="preserve">Die mit Mykoplasmen infizierten Zellen aus dem Tumorharnleiter wiesen nach der Infektion im Vergleich mit den nicht-infizierten Zellen eine minimal erhöhte CD276 Expression auf. </w:t>
            </w:r>
          </w:p>
        </w:tc>
      </w:tr>
      <w:tr w:rsidR="00C85902" w14:paraId="777FC164" w14:textId="77777777" w:rsidTr="0063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D9256AA" w14:textId="77777777" w:rsidR="00C85902" w:rsidRDefault="00C85902" w:rsidP="00630390">
            <w:r>
              <w:t>Western Blot Analyse der CD276 Protein Expression</w:t>
            </w:r>
          </w:p>
        </w:tc>
        <w:tc>
          <w:tcPr>
            <w:tcW w:w="6231" w:type="dxa"/>
          </w:tcPr>
          <w:p w14:paraId="7213AA78" w14:textId="77777777" w:rsidR="00C85902" w:rsidRDefault="00C85902" w:rsidP="00630390">
            <w:pPr>
              <w:cnfStyle w:val="000000100000" w:firstRow="0" w:lastRow="0" w:firstColumn="0" w:lastColumn="0" w:oddVBand="0" w:evenVBand="0" w:oddHBand="1" w:evenHBand="0" w:firstRowFirstColumn="0" w:firstRowLastColumn="0" w:lastRowFirstColumn="0" w:lastRowLastColumn="0"/>
            </w:pPr>
            <w:r>
              <w:t>Aufgrund einer unzureichenden Extraktion von Proteinen war keine Beurteilung möglich.</w:t>
            </w:r>
          </w:p>
        </w:tc>
      </w:tr>
      <w:tr w:rsidR="00C85902" w14:paraId="03AFA428" w14:textId="77777777" w:rsidTr="00630390">
        <w:tc>
          <w:tcPr>
            <w:cnfStyle w:val="001000000000" w:firstRow="0" w:lastRow="0" w:firstColumn="1" w:lastColumn="0" w:oddVBand="0" w:evenVBand="0" w:oddHBand="0" w:evenHBand="0" w:firstRowFirstColumn="0" w:firstRowLastColumn="0" w:lastRowFirstColumn="0" w:lastRowLastColumn="0"/>
            <w:tcW w:w="2263" w:type="dxa"/>
          </w:tcPr>
          <w:p w14:paraId="7B2B06A5" w14:textId="77777777" w:rsidR="00C85902" w:rsidRDefault="00C85902" w:rsidP="00630390">
            <w:r>
              <w:t>Oberflächen Expression von CD276 in der Durchflusszytometrie (FACS)</w:t>
            </w:r>
          </w:p>
        </w:tc>
        <w:tc>
          <w:tcPr>
            <w:tcW w:w="6231" w:type="dxa"/>
          </w:tcPr>
          <w:p w14:paraId="3CAAE8BE" w14:textId="77777777" w:rsidR="00C85902" w:rsidRDefault="00C85902" w:rsidP="00630390">
            <w:pPr>
              <w:cnfStyle w:val="000000000000" w:firstRow="0" w:lastRow="0" w:firstColumn="0" w:lastColumn="0" w:oddVBand="0" w:evenVBand="0" w:oddHBand="0" w:evenHBand="0" w:firstRowFirstColumn="0" w:firstRowLastColumn="0" w:lastRowFirstColumn="0" w:lastRowLastColumn="0"/>
            </w:pPr>
            <w:r>
              <w:t>Aufgrund einer zu geringen Zellmenge war keine Beurteilung der Oberflächen Expression von CD276 möglich</w:t>
            </w:r>
          </w:p>
        </w:tc>
      </w:tr>
    </w:tbl>
    <w:p w14:paraId="043951ED" w14:textId="77777777" w:rsidR="00C85902" w:rsidRPr="00C4389F" w:rsidRDefault="00C85902" w:rsidP="00C4389F"/>
    <w:p w14:paraId="260897D6" w14:textId="77777777" w:rsidR="00C85902" w:rsidRDefault="00C85902" w:rsidP="00C60555">
      <w:pPr>
        <w:pStyle w:val="berschrift1"/>
      </w:pPr>
      <w:bookmarkStart w:id="216" w:name="_Toc121158686"/>
      <w:r w:rsidRPr="00F720CB">
        <w:t>Diskussion</w:t>
      </w:r>
      <w:bookmarkEnd w:id="216"/>
      <w:r>
        <w:t xml:space="preserve"> </w:t>
      </w:r>
    </w:p>
    <w:p w14:paraId="32B5C310" w14:textId="77777777" w:rsidR="00C85902" w:rsidRPr="00C14366" w:rsidRDefault="00C85902" w:rsidP="00C14366">
      <w:r>
        <w:t xml:space="preserve">Das Ziel der Arbeit ist die Erforschung des Einflusses von Mykoplasmen auf die Expression von CD276 auf der Transkriptebene, der Proteinebene und auf der Ebene der Oberflächenproteine. Zusätzlich sollte der Einfluss von Mykoplasmen auf die Morphologie und die Proliferationsrate erfasst werden. Diese Daten wurden sowohl bei den infizierten Zellen als auch bei den entsprechenden Mykoplasmen-freien Zellen erfasst und miteinander verglichen. Hierbei zeigte sich, dass sich die Expression von CD276 durch eine Infektion mit Mykoplasmen verändert. Der Einfluss auf die Expression variiert jedoch nicht nur zwischen unterschiedlichen Zelllinien, sondern auch auf unterschiedlichen Expressionsebenen. Im folgenden Teil werden die in der Arbeit erhobenen Daten und Ergebnisse diskutiert und in den aktuellen wissenschaftlichen Kontext eingeordnet. Außerdem wird auf die gewählten Materialien und Methoden eingegangen und abschließend werden die Schlussfolgerung und ein Ausblick dargelegt. </w:t>
      </w:r>
    </w:p>
    <w:p w14:paraId="0208F9E2" w14:textId="77777777" w:rsidR="00C85902" w:rsidRDefault="00C85902" w:rsidP="002D3193">
      <w:pPr>
        <w:pStyle w:val="berschrift2"/>
      </w:pPr>
      <w:bookmarkStart w:id="217" w:name="_Toc121158687"/>
      <w:r>
        <w:t>Diskussion der Ergebnisse</w:t>
      </w:r>
      <w:bookmarkEnd w:id="217"/>
    </w:p>
    <w:p w14:paraId="2D670801" w14:textId="77777777" w:rsidR="00C85902" w:rsidRPr="000F4E86" w:rsidRDefault="00C85902" w:rsidP="000F4E86">
      <w:r>
        <w:t>Zunächst wird auf die beobachteten morphologischen und genetischen Eigenschaften und Unterschiede zwischen den infizierten und nicht-infizierten Zellen eingegangen. Außerdem wird auf die Abweichungen zwischen unterschiedlichen Zelllinien und den aus Präparaten isolierten Zellen eingegangen.</w:t>
      </w:r>
    </w:p>
    <w:p w14:paraId="64AACAFB" w14:textId="77777777" w:rsidR="00C85902" w:rsidRPr="0025355E" w:rsidRDefault="00C85902" w:rsidP="0025355E">
      <w:pPr>
        <w:pStyle w:val="berschrift3"/>
      </w:pPr>
      <w:bookmarkStart w:id="218" w:name="_Toc121158688"/>
      <w:r>
        <w:t>Morphologische und Replikationsraten Unterschiede</w:t>
      </w:r>
      <w:bookmarkEnd w:id="218"/>
      <w:r>
        <w:t xml:space="preserve"> </w:t>
      </w:r>
    </w:p>
    <w:p w14:paraId="0739EE02" w14:textId="77777777" w:rsidR="00C85902" w:rsidRDefault="00C85902" w:rsidP="003A0F46">
      <w:r>
        <w:t>Die mit Mykoplasmen infizierten Zellen der Zelllinie T24 wiesen bereits am ersten Tag nach der Passage eine größere Zellgröße, eine schnellere Proliferationsrate und eine höhere Zelltodrate auf als die nicht-infizierten Zellen der gleichen Zelllinie. Bei der Zelllinie Cal29 wiesen die mit Mykoplasmen infizierten Zellen, genau wie die infizierten Zellen der T24 Zelllinie, eine schnellere Proliferationsrate und eine höhere Apoptoserate auf als die nicht-infizierten Zellen. Wobei formal im Rahmen dieser Arbeit nicht untersucht wurde, ob der Zelltod durch Apoptose oder Nekrose eingetreten ist. Ein entscheidender Unterschied ist aber, dass die infizierten Cal29 Zellen eine kleinere Zellgröße als die nicht-infizierten Cal29 Zellen aufwiesen. Dies steht im Gegensatz zu dem Verhalten der infizierten Zellen der T24 Zelllinien</w:t>
      </w:r>
      <w:r w:rsidRPr="000B1ED5">
        <w:t>. Die Proliferationsrate</w:t>
      </w:r>
      <w:r>
        <w:t xml:space="preserve"> der Zellen der HT1197 Zelllinie war bei den infizierten und nicht-infizierten Zellen annähernd gleich langsam. Initial war kein deutlicher morphologischer Unterschied zwischen den Zellen erkennbar. Im Verlauf der Zellkultur zeigte sich jedoch, dass die Zellgröße der mit Mykoplasmen infizierten Zellen kleiner war und die Zellen weniger kohärente Zellverbände bildeten als die nicht-infizierten Zellen. Die aus Harnleitern isolierten Urothelzellen HL 20/31 stammten aus einem tumorfreien Harnleiter, während die Zellen HL20/32 aus einem Harnleiter mit Tumor stammten. Nach der Infektion mit Mykoplasmen verhielten sich beide Zellkulten jedoch identisch: Sie waren im Verlauf der Infektion morphologisch deutlich kleiner und wiesen einen höheren Zelluntergang (Apoptose oder Nekrose) als ihre jeweilige nicht-infizierte Vergleichspopulation auf. Bei den aus Harnleitern isolierten Zellen war jedoch sowohl bei den nicht-infizierten als auch bei den infizierten Zellen die Proliferationsrate so niedrig, dass ein Einfluss auf diese nicht abschließend ermittelt werden konnte. Jedoch ist festzuhalten, dass die kleinere Zellgröße der infizierten Zellen im Vergleich mit den nicht-infizierten Zellen mit dem Verhalten der im Rahmen dieser Arbeit ebenfalls frisch infizierten Zelllinie HT1197 und der bereits über einen längeren Zeitraum infizierten Zelllinie Cal29 übereinstimmte. Diese Größenregression der Zellen, welche sich bereits nach wenigen Tagen nach der Infektion mit Mykoplasmen zeigte, wurde bereits Mitte der sechziger Jahre von Pathon et al. beschrieben </w:t>
      </w:r>
      <w:r>
        <w:rPr>
          <w:noProof/>
        </w:rPr>
        <w:t>(Paton et al., 1965)</w:t>
      </w:r>
      <w:r>
        <w:t xml:space="preserve">.Tsai et al. zeigten in ihrer Studie, dass die maligne Transformation der Zellen bei einer Langzeitinfektion mit Mykoplasmen ein mehrstufiger Prozess ist, bei dem auch phänotypische Unterschiede mit der Dauer der Infektion zunehmen. Sie beobachteten bereits nach 7 Wochen morphologische Unterschiede bei den mit Mykoplasmen infizierten Zellen. Außerdem fanden sie heraus, dass die Eigenschaften, die mit der malignen Zelltransformation assoziiert sind, noch bis zu elf Wochen nach initialer Infektion durch eine antibiotische Eradikation der Mykoplasmen reversibel waren. Nach der achtzehnten Woche jedoch war die Transformation irreversibel und auch nach Entfernen der Mykoplasmen zeigten sich chromosomale Veränderungen und die Fähigkeit der Zellen, Tumore zu bilden </w:t>
      </w:r>
      <w:r>
        <w:rPr>
          <w:noProof/>
        </w:rPr>
        <w:t>(Tsai et al., 1995)</w:t>
      </w:r>
      <w:r>
        <w:t xml:space="preserve">. Die infizierten Zelllinien T24 und Cal29 hatten ihre Infektion bereits über einen längeren Zeitraum und hatten dementsprechend auch bereits mehrere Passage Zyklen durchlaufen. </w:t>
      </w:r>
      <w:r w:rsidRPr="000F4E86">
        <w:t>Es ist davon auszugehen, dass sich d</w:t>
      </w:r>
      <w:r>
        <w:t>eshalb</w:t>
      </w:r>
      <w:r w:rsidRPr="000F4E86">
        <w:t xml:space="preserve"> die Unterschiede in der Morphologie und Zellproliferation hier stärker zeig</w:t>
      </w:r>
      <w:r>
        <w:t>t</w:t>
      </w:r>
      <w:r w:rsidRPr="000F4E86">
        <w:t>en.</w:t>
      </w:r>
      <w:r>
        <w:t xml:space="preserve">  </w:t>
      </w:r>
    </w:p>
    <w:p w14:paraId="546C68A4" w14:textId="77777777" w:rsidR="00C85902" w:rsidRDefault="00C85902" w:rsidP="003F62FD">
      <w:pPr>
        <w:pStyle w:val="berschrift3"/>
      </w:pPr>
      <w:bookmarkStart w:id="219" w:name="_Ref115167257"/>
      <w:bookmarkStart w:id="220" w:name="_Ref115167313"/>
      <w:bookmarkStart w:id="221" w:name="_Toc121158689"/>
      <w:r>
        <w:t>Unterschiede</w:t>
      </w:r>
      <w:r w:rsidRPr="0025355E">
        <w:t xml:space="preserve"> </w:t>
      </w:r>
      <w:r>
        <w:t>in der CD276 Gen- und Proteinexpression durch eine Mykoplasmeninfektion</w:t>
      </w:r>
      <w:bookmarkEnd w:id="219"/>
      <w:bookmarkEnd w:id="220"/>
      <w:bookmarkEnd w:id="221"/>
      <w:r>
        <w:t xml:space="preserve"> </w:t>
      </w:r>
    </w:p>
    <w:p w14:paraId="5DF731F8" w14:textId="77777777" w:rsidR="00C85902" w:rsidRDefault="00C85902" w:rsidP="0025355E">
      <w:r>
        <w:t xml:space="preserve">Es ist bereits bekannt, dass Bakterien beim Eindringen in einen Wirt einen Einfluss auf die Zellen und deren Genaktivierung haben. Dies erleichtert ihnen die Invasion und dient ihrem eigenen Schutz </w:t>
      </w:r>
      <w:r>
        <w:rPr>
          <w:noProof/>
        </w:rPr>
        <w:t>(Bliska et al., 1993, Pettersson et al., 1996)</w:t>
      </w:r>
      <w:r>
        <w:t xml:space="preserve">. Auch der Einfluss von Mykoplasmen auf die Genexpression ist bereits durch vorherige Arbeiten bekannt. So zeigten Arbeiten von unterschiedlichen Forschern bereits, dass die Infektion von Zellen mit Mykoplasmen zu einer Veränderung der Genexpression führt und die Zellen sowohl ein autonomes Wachstumsverhalten entwickeln als auch Tumore bilden können </w:t>
      </w:r>
      <w:r>
        <w:rPr>
          <w:noProof/>
        </w:rPr>
        <w:t>(Feng et al., 1999, Zhang et al., 2000, Zhang et al., 2004, Paton et al., 1965)</w:t>
      </w:r>
      <w:r>
        <w:t xml:space="preserve">. Die Studien, die bereits in der Ausführung zu den morphologischen Unterschieden erwähnt wurden, zeigten auch, dass Mykoplasmen nicht nur die Zellmorphologie verändern, sondern auch in einem mehrstufigen Prozess die genetischen Modifikationen von Tumorsuppressorgenen und Aktivierungen von Onkogenen und pro-inflammatorischen Zytokinen bewirken </w:t>
      </w:r>
      <w:r>
        <w:rPr>
          <w:noProof/>
        </w:rPr>
        <w:t>(Tsai et al., 1995, Zhang et al., 1997, Liu and Shou, 2011)</w:t>
      </w:r>
      <w:r>
        <w:t xml:space="preserve">. Diese Modifikationen sind bis zu einem gewissen Zeitpunkt durch eine antibiotische Eradikation der Mykoplasmen reversibel </w:t>
      </w:r>
      <w:r>
        <w:rPr>
          <w:noProof/>
        </w:rPr>
        <w:t>(Felsher, 2004, Zhang et al., 1997, Zhang et al., 2006)</w:t>
      </w:r>
      <w:r>
        <w:t xml:space="preserve">. </w:t>
      </w:r>
      <w:r w:rsidRPr="000F4E86">
        <w:t>Im Rahmen der vorliegenden Arbeit konnten Unterschiede in der CD276 Expression gemessen werden, jedoch wurde nicht überprüft, ob und wenn ja wie schnell die Veränderung in der Expression an CD276 durch die Eradikation von Mykoplasmen reversible ist.</w:t>
      </w:r>
    </w:p>
    <w:p w14:paraId="6F44E17D" w14:textId="77777777" w:rsidR="00C85902" w:rsidRDefault="00C85902" w:rsidP="0025355E">
      <w:r>
        <w:t xml:space="preserve">Bei den mit Mykoplasmen infizierten T24 und Cal29 Zellen zeigte sich der Einfluss der Mykoplasmen auf die Expression von CD276 deutlicher als bei den HT1197 Zellen und den aus Harnleitern isolierten Zellen. Jedoch zeigte sich der Einfluss auf unterschiedliche Weise. Bei den mit Mykoplasmen infizierten T24 waren sowohl die Proliferationsrate als auch die mRNA-Expression und Oberflächenexpression von CD276 erhöht. Nur die Proteinexpression von CD276 war in den infizierten Zellen geringer als in den nicht-infizierten. Bei den mit Mykoplasmen infizierten Cal29 zeigten sich im Vergleich mit den nicht-infizierten Zellen eine höhere Proliferationsrate und eine höhere Proteinexpression von CD276. Bei den infizierten Zellen waren jedoch die CD276 mRNA Expression und auch die oberflächliche Proteinexpression geringer als in den gesunden Zellen. Dies korreliert mit den Ergebnissen von Zhang et al., die bereits zeigten, dass der Effekt auf die Genexpression sowohl von der Mykoplasmenart als auch vom Zelltyp abhängig ist und hierdurch unterschiedliche und sogar teilweise gegenteilige Effekte auftreten können. Auch zeigten Sie, dass abhängig von der Dauer der Infektion die Hoch- beziehungsweise Runterregulation von Genen unterschiedlich ausgeprägt ist </w:t>
      </w:r>
      <w:r>
        <w:rPr>
          <w:noProof/>
        </w:rPr>
        <w:t>(Zhang et al., 2006, Zhang et al., 2000)</w:t>
      </w:r>
      <w:r>
        <w:t>. Die Zelllinien T24 und Cal29 sind zwar beide Blasenkrebszellen, sie stammen jedoch von unterschiedlichen Patienten, was auch unterschiedliche Zelleigenschaften zur Folge haben kann. Im Rahmen der vorliegenden Arbeit wurde jedoch nicht überprüft, ob es sich bei den beiden Zelllinien, bei denen die Infektion mit Mykoplasmen bereits über einen längeren Zeitraum besteht, um die gleiche Art von Mykoplasmen handelte. Dies kann auch zu einem Unterschied in der Expression von CD276 führen.</w:t>
      </w:r>
    </w:p>
    <w:p w14:paraId="408B75EA" w14:textId="77777777" w:rsidR="00C85902" w:rsidRDefault="00C85902" w:rsidP="0025355E">
      <w:r>
        <w:t xml:space="preserve">Bei HT1197 wurde im Rahmen der Arbeit eine frische Infektion mit Mykoplasmen der infizierten T24 Zelllinie durchgeführt. Bei den infizierten Zellen ließ sich eine verstärkte Expression von CD276 mRNA und CD276 Oberflächenprotein erkennen. Die Änderungen in der Zellmorphologie und Expression von CD276 auf unterschiedlichen Ebenen war jedoch nicht so stark ausgeprägt wie bei den bereits über einen längeren Zeitraum infizierten Zelllinien T24 und Cal29. Dies ist im Einklang mit anderen Studien, die bereits zeigten, dass der Einfluss von Mykoplasmen auf eine maligne Transformation der infizierten Zellen von der Dauer der Infektion und der Anzahl der Zellpassagen abhängig ist und deutlicher hervortritt, wenn die Infektion bereits über einen längeren Zeitraum besteht </w:t>
      </w:r>
      <w:r>
        <w:rPr>
          <w:noProof/>
        </w:rPr>
        <w:t>(Tsai et al., 1995, Zhang et al., 2006)</w:t>
      </w:r>
      <w:r>
        <w:t>.</w:t>
      </w:r>
    </w:p>
    <w:p w14:paraId="41377570" w14:textId="77777777" w:rsidR="00C85902" w:rsidRDefault="00C85902" w:rsidP="0025355E">
      <w:r>
        <w:t xml:space="preserve">Bei den kommerziell erwerblichen und in der Forschung etablierten Zelllinien T24, Cal29 und HT1197 gestaltet sich die Zellkultur erheblich leichter und auch die Anzahl der Passagen ist nicht limitiert. Dies erleichtert nicht nur die Erforschung des Einflusses der Mykoplasmeninfektion auf die Expression von CD276, sondern ermöglicht auch die Beurteilung über einen längeren Zeitraum. Die aus Harnleitern isolierten Urothelzellen HL20/31 und HL20/32 sind aufgrund ihrer Extraktion aus dem Resektionspräparat eines Tumors beziehungsweise eines gesunden Harnleiters in ihrer Ausbeute ex-vivo und Expansionsfähigkeit in-vitro limitiert. Hinzukommt, dass die Zellen zwischen den Passagen über einen deutlich längeren Zeitraum kultiviert werden müssen, um ein konfluentes Wachstum zu erreichen. Auch nimmt die Anzahl an vitalen Zellen nach jeder Passage stark ab, was dazu führt, dass bereits nach der dritten Passage eine Zellkultur aufgrund der geringen Zellmenge kaum mehr möglich ist, mit der Folge, dass der Einfluss auf die CD276 Protein- und mRNA-Expression bei aus OP-Präparaten isolierten Urothelzellen nach mehreren Passagen nicht abschließend beurteilbar ist. Ein Ansatzpunkt zum Lösen dieser Problematik ist die Re-evaluation des Nährmediums, auch kann es sinnvoll sein die Untersuchungen nochmals an etablierten kommerziell erwerblichen tumorfreien Urothelzellen durchzuführen, um den Einfluss auf die CD276 Expression durch eine Infektion mit Mykoplasmen weiter zu erforschen  </w:t>
      </w:r>
      <w:r>
        <w:rPr>
          <w:noProof/>
        </w:rPr>
        <w:t>(Sciencell Research Laboratories, o.J.)</w:t>
      </w:r>
      <w:r>
        <w:t xml:space="preserve">. </w:t>
      </w:r>
    </w:p>
    <w:p w14:paraId="07A124F4" w14:textId="77777777" w:rsidR="00C85902" w:rsidRDefault="00C85902" w:rsidP="0025355E"/>
    <w:p w14:paraId="4C136142" w14:textId="77777777" w:rsidR="00C85902" w:rsidRDefault="00C85902" w:rsidP="00966CB5">
      <w:pPr>
        <w:pStyle w:val="berschrift2"/>
      </w:pPr>
      <w:bookmarkStart w:id="222" w:name="_Toc121158690"/>
      <w:r>
        <w:t>Diskussion des Materials und der Methoden</w:t>
      </w:r>
      <w:bookmarkEnd w:id="222"/>
    </w:p>
    <w:p w14:paraId="1E86F8CB" w14:textId="77777777" w:rsidR="00C85902" w:rsidRDefault="00C85902" w:rsidP="00966CB5">
      <w:r>
        <w:t xml:space="preserve">Im Rahmen der Arbeit wurden unterschiedliche Methoden genutzt, um die Expression von CD276 auf unterschiedlichen zellulären Ebenen zu messen und um zu ermitteln, ob eine Infektion mit Mykoplasmen die Expression beeinflusst. Die genutzten Methoden zeigen bereits, dass Mykoplasmen mit hoher Wahrscheinlichkeit einen Einfluss auf die Expression von CD276 haben. </w:t>
      </w:r>
    </w:p>
    <w:p w14:paraId="3B035917" w14:textId="77777777" w:rsidR="00C85902" w:rsidRDefault="00C85902" w:rsidP="008A794A">
      <w:pPr>
        <w:pStyle w:val="berschrift3"/>
      </w:pPr>
      <w:bookmarkStart w:id="223" w:name="_Toc121158691"/>
      <w:r>
        <w:t>Nachweis der Infektion mit Mykoplasmen</w:t>
      </w:r>
      <w:bookmarkEnd w:id="223"/>
    </w:p>
    <w:p w14:paraId="0A7D9CED" w14:textId="77777777" w:rsidR="00C85902" w:rsidRDefault="00C85902" w:rsidP="00966CB5">
      <w:r>
        <w:t>Für den Nachweis, beziehungsweise den Ausschluss einer Infektion mit Mykoplasmen wurde im Rahmen dieser Arbeit mit dem MycoSPY</w:t>
      </w:r>
      <w:r w:rsidRPr="00F21D97">
        <w:rPr>
          <w:vertAlign w:val="superscript"/>
        </w:rPr>
        <w:t>®</w:t>
      </w:r>
      <w:r>
        <w:t xml:space="preserve"> der Firma Biontex gearbeitet. Der MycoSPY</w:t>
      </w:r>
      <w:r w:rsidRPr="00B9720B">
        <w:rPr>
          <w:vertAlign w:val="superscript"/>
        </w:rPr>
        <w:t>®</w:t>
      </w:r>
      <w:r>
        <w:t xml:space="preserve"> ist bei richtiger Durchführung gemäß Hersteller Angaben eine zuverlässige Methode für das Screening auf Mykoplasmen in einer Zellkultur. Er erkennt über 40 verschiedene Mykoplasmen sowie weitere Mollicutes-Stämme, wie unter anderem Ureaplasmen und Spiroplasmen </w:t>
      </w:r>
      <w:r>
        <w:rPr>
          <w:noProof/>
        </w:rPr>
        <w:t>(BIONTEX Laboratories GmbH, o.J.)</w:t>
      </w:r>
      <w:r>
        <w:t xml:space="preserve">. In dieser Arbeit wurde er genutzt, um bei den mit Mykoplasmen infizierten Zellen sowohl initial als auch am Ende der Untersuchungen eine Infektion nachzuweisen. Außerdem konnte mit dem MycoSPY </w:t>
      </w:r>
      <w:r w:rsidRPr="00756295">
        <w:rPr>
          <w:vertAlign w:val="superscript"/>
        </w:rPr>
        <w:t>®</w:t>
      </w:r>
      <w:r>
        <w:t xml:space="preserve"> bei den nicht-infizierten Zellen eine Infektion sowohl initial als auch am Ende des </w:t>
      </w:r>
      <w:r w:rsidRPr="002869BD">
        <w:t xml:space="preserve">Untersuchungszeitraums ausgeschlossen werden. </w:t>
      </w:r>
      <w:r>
        <w:t xml:space="preserve">Mit dem </w:t>
      </w:r>
      <w:r w:rsidRPr="002869BD">
        <w:t>MycoSPY</w:t>
      </w:r>
      <w:r w:rsidRPr="00756295">
        <w:rPr>
          <w:vertAlign w:val="superscript"/>
        </w:rPr>
        <w:t>®</w:t>
      </w:r>
      <w:r w:rsidRPr="002869BD">
        <w:t xml:space="preserve"> kann</w:t>
      </w:r>
      <w:r>
        <w:t xml:space="preserve"> man</w:t>
      </w:r>
      <w:r w:rsidRPr="002869BD">
        <w:t xml:space="preserve"> jedoch </w:t>
      </w:r>
      <w:r>
        <w:t>nicht ermitteln</w:t>
      </w:r>
      <w:r w:rsidRPr="002869BD">
        <w:t>, welche</w:t>
      </w:r>
      <w:r>
        <w:t xml:space="preserve"> Art von Mykoplasmen vorliegt. Dementsprechend ist nicht sicher, ob bei den infizierten Zellen jeweils die identische Art von Mykoplasmen vorlag oder ob verschiedene Spezies in der Kultur vorlagen. Im Rahmen dieser Forschung wurden die Zelllinien T24 wie auch Cal29 nicht frisch infiziert, sondern waren bereits seit mehreren Passagen mit Mykoplasmen infiziert. Nur die Zelllinie HT1197 und die aus Harnleitern gewonnen Zellen HL20/31 wie auch HL20/32 wurden frisch mit Mykoplasmen infiziert. Diese für die Infektion genutzten Mykoplasmen wurden zuvor aus der T24 Zellkultur isoliert. Wie bereits in der Diskussion der Ergebnisse hervorgehoben wurde, hat bei einer Infektion mit Mykoplasmen die Spezies einen unterschiedlich stark ausgeprägten Einfluss sowohl auf die Morphologie als auch auf die molekularen Eigenschaften von Zellen. So zeigten Zhang et al. bereits, dass beispielsweise M. fermetans und M. penetrans die Genexpression von Zytokinen stärker beeinflusst als M. genitalium und M. hominis </w:t>
      </w:r>
      <w:r>
        <w:rPr>
          <w:noProof/>
        </w:rPr>
        <w:t>(Zhang et al., 2006, Zhang et al., 2000)</w:t>
      </w:r>
      <w:r>
        <w:t xml:space="preserve">. Eine Differenzierung zwischen den Mykoplasmen gestaltet sich schwierig. Ein möglicher Ansatz wäre, die Infektion erneut mit bekannten Stämmen zu wiederholen, um herauszufinden, ob bestimmte Arten von Mykoplasmen einen stärkeren Einfluss auf die Modifikation der CD276 Expression haben. </w:t>
      </w:r>
    </w:p>
    <w:p w14:paraId="0FF9F436" w14:textId="77777777" w:rsidR="00C85902" w:rsidRDefault="00C85902" w:rsidP="008A794A">
      <w:pPr>
        <w:pStyle w:val="berschrift3"/>
      </w:pPr>
      <w:bookmarkStart w:id="224" w:name="_Toc121158692"/>
      <w:r>
        <w:t>In vitro Einfluss von Mykoplasmen auf die Expression von CD276</w:t>
      </w:r>
      <w:bookmarkEnd w:id="224"/>
    </w:p>
    <w:p w14:paraId="031A735E" w14:textId="77777777" w:rsidR="00C85902" w:rsidRDefault="00C85902" w:rsidP="009412D1">
      <w:r>
        <w:t xml:space="preserve">Yang et al. haben in ihrer Studie bereits gezeigt, dass Mykoplasmen sowohl in vitro als auch in vivo im Zusammenhang mit Tumorgenese stehen </w:t>
      </w:r>
      <w:r>
        <w:rPr>
          <w:noProof/>
        </w:rPr>
        <w:t>(Yang et al., 2010)</w:t>
      </w:r>
      <w:r>
        <w:t xml:space="preserve">. Dies wurde weiter untermauert durch weitere Studien, die ebenfalls zeigten, dass Mykoplasmen durch die Aktivierung unterschiedlicher Signalwege zu einer malignen Transformation von Magenzellen führen </w:t>
      </w:r>
      <w:r>
        <w:rPr>
          <w:noProof/>
        </w:rPr>
        <w:t>(Xu et al., 2013, Liu et al., 2019a)</w:t>
      </w:r>
      <w:r>
        <w:t>.</w:t>
      </w:r>
    </w:p>
    <w:p w14:paraId="28C89605" w14:textId="77777777" w:rsidR="00C85902" w:rsidRDefault="00C85902" w:rsidP="00966CB5">
      <w:r w:rsidRPr="00FA2CF4">
        <w:t>Im Rahmen dieser Versuchsreihe wurde ausschließlich in vitro an dem Einfluss von Mykoplasmen auf die Expression von CD276 geforscht. Krebszellen verhalten sich jedoch in vitro anders als in vivo. Die erneute Durchführung der Untersuchung an einem Organoid kann helfen, den Einfluss von Mykoplasmen auf die CD276 Expression besser zu erfassen und nachzuvollziehen</w:t>
      </w:r>
      <w:r>
        <w:t>,</w:t>
      </w:r>
      <w:r w:rsidRPr="00FA2CF4">
        <w:t xml:space="preserve"> welche molekulargenetischen Pathways genutzt werden. Die Etablierung von Organoidmodellen zum besseren Verständnis von Zelleigenschaften ist ein zukunftsträchtiger Bereich der Wissenschaft. Auch zur Erforschung der Wirkung von Medikamenten sind Organoide hilfreich, so haben unter anderem humane Organoidmodelle von Nieren dazu beigetragen, die </w:t>
      </w:r>
      <w:r w:rsidRPr="00FE37BF">
        <w:t>Nephrotoxizität besser zu erforschen</w:t>
      </w:r>
      <w:r w:rsidRPr="00FA2CF4">
        <w:t xml:space="preserve"> </w:t>
      </w:r>
      <w:r>
        <w:rPr>
          <w:noProof/>
        </w:rPr>
        <w:t>(Takasato et al., 2015, Freedman et al., 2015)</w:t>
      </w:r>
      <w:r w:rsidRPr="00FA2CF4">
        <w:t xml:space="preserve">. Besonders interessant ist auch die Erforschung des Einflusses von pathogenen Erregern auf ihren Wirt. Hierbei macht man sich zu </w:t>
      </w:r>
      <w:r>
        <w:t>N</w:t>
      </w:r>
      <w:r w:rsidRPr="00FA2CF4">
        <w:t>utzen, dass Organoide dem Verhalten von in vivo wachsenden Zellen sehr ähnlich sind und sie über einen längeren Zeitraum untersucht werden können. Die in Organoiden genutzten Zellen weisen die Eigenschaften der in vivo Zellen auf</w:t>
      </w:r>
      <w:r>
        <w:t>. S</w:t>
      </w:r>
      <w:r w:rsidRPr="00FA2CF4">
        <w:t xml:space="preserve">o behalten intestinale Organoide beispielsweise ihre apico-basale Polarität </w:t>
      </w:r>
      <w:r>
        <w:rPr>
          <w:noProof/>
        </w:rPr>
        <w:t>(Dutta and Clevers, 2017)</w:t>
      </w:r>
      <w:r w:rsidRPr="00FA2CF4">
        <w:t xml:space="preserve">. Die Erforschung der Pathogenese von Infektionskrankheiten an Organoidmodellen hat entscheidende Erkenntnisse erbracht </w:t>
      </w:r>
      <w:r w:rsidRPr="00FE37BF">
        <w:rPr>
          <w:noProof/>
        </w:rPr>
        <w:t>(Dutta and Clevers, 2017)</w:t>
      </w:r>
      <w:r w:rsidRPr="00FA2CF4">
        <w:t>. Das gramnegative Stäbchenbakterium Helicobacter Pylori ist bekannt für seine Fähigkeit</w:t>
      </w:r>
      <w:r>
        <w:t>,</w:t>
      </w:r>
      <w:r w:rsidRPr="00FA2CF4">
        <w:t xml:space="preserve"> Magenkrebs auszulösen </w:t>
      </w:r>
      <w:r>
        <w:rPr>
          <w:noProof/>
        </w:rPr>
        <w:t>(Amieva and Peek Jr, 2016)</w:t>
      </w:r>
      <w:r>
        <w:t>.</w:t>
      </w:r>
      <w:r w:rsidRPr="00FA2CF4">
        <w:t xml:space="preserve"> Anhand von Magen-Organoiden konnte</w:t>
      </w:r>
      <w:r>
        <w:t>n</w:t>
      </w:r>
      <w:r w:rsidRPr="00FA2CF4">
        <w:t xml:space="preserve"> die genauen Mechanismen und Interaktionen besser erforscht werden </w:t>
      </w:r>
      <w:r>
        <w:rPr>
          <w:noProof/>
        </w:rPr>
        <w:t>(Bartfeld et al., 2015, Schlaermann et al., 2016)</w:t>
      </w:r>
      <w:r w:rsidRPr="00FA2CF4">
        <w:t>. Die Etablierung eines Blasen-Organoids und das Erforschen des Einfluss</w:t>
      </w:r>
      <w:r>
        <w:t>es</w:t>
      </w:r>
      <w:r w:rsidRPr="00FA2CF4">
        <w:t xml:space="preserve"> einer Mykoplasmeninfektion auf die CD276 Expression wäre eine Möglichkeit</w:t>
      </w:r>
      <w:r>
        <w:t>,</w:t>
      </w:r>
      <w:r w:rsidRPr="00FA2CF4">
        <w:t xml:space="preserve"> dem in vivo Pathomechanismus näher zu kommen.</w:t>
      </w:r>
      <w:r>
        <w:t xml:space="preserve"> </w:t>
      </w:r>
    </w:p>
    <w:p w14:paraId="3230127D" w14:textId="77777777" w:rsidR="00C85902" w:rsidRDefault="00C85902" w:rsidP="008A794A">
      <w:pPr>
        <w:pStyle w:val="berschrift3"/>
      </w:pPr>
      <w:bookmarkStart w:id="225" w:name="_Toc121158693"/>
      <w:r>
        <w:t>Auswahl der Zelllinien und Zellen aus klinischen Resektionspräparaten</w:t>
      </w:r>
      <w:bookmarkEnd w:id="225"/>
    </w:p>
    <w:p w14:paraId="794219A0" w14:textId="4EEB6BA3" w:rsidR="00C85902" w:rsidRDefault="00C85902" w:rsidP="00966CB5">
      <w:r>
        <w:t xml:space="preserve">Im Rahmen dieser Arbeit wurden Untersuchungen sowohl an den etablierten Zelllinien T24, Cal29 und HT1197 als auch an den aus OP-Präparaten gewonnen Zellen HL20/31 und HL20/32 durchgeführt. Der Versuchsablauf wurde mit jeder der infizierten Zellgruppen und ihrer korrespondierenden nicht-infizierten Kohorte jeweils nur einmal durchgeführt. Dies ergab sich einerseits durch den zeitlich begrenzten Rahmen der Forschung und andererseits durch die in </w:t>
      </w:r>
      <w:r>
        <w:fldChar w:fldCharType="begin"/>
      </w:r>
      <w:r>
        <w:instrText xml:space="preserve"> REF _Ref115167257 \r \h </w:instrText>
      </w:r>
      <w:r>
        <w:fldChar w:fldCharType="separate"/>
      </w:r>
      <w:r w:rsidR="00791554">
        <w:t>4.1.2</w:t>
      </w:r>
      <w:r>
        <w:fldChar w:fldCharType="end"/>
      </w:r>
      <w:r>
        <w:t xml:space="preserve"> beschriebene limitierte Anzahl an Zellen aus OP-Präparaten, die eine Wiederholung der Messung unmöglich machte. Die Mehrheit der für Messungen ausgewählten Zellpopulationen waren Tumorzellen. Die Zellen der Zelllinien T24, Cal29, HT1197 und die aus einem Harnleiter isolierten Zellen HL 20/32 stammen alle aus Tumoren. Nur die Zellen des Harnleiters HL 20/31 waren tumorfrei. Die ersten Ergebnisse sind bereits sehr vielversprechend. Im Rahmen weiterer Untersuchungen sollten ergänzend sowohl mehrfach die gleichen Zellen als auch zusätzliche tumorfreie Urothelzellen untersucht werden, um eine genauere und statistisch signifikante Aussage über den Einfluss von Mykoplasmen auf die Expression von CD276 treffen zu können. </w:t>
      </w:r>
    </w:p>
    <w:p w14:paraId="77DE159E" w14:textId="77777777" w:rsidR="00C85902" w:rsidRDefault="00C85902" w:rsidP="00ED7C9D">
      <w:pPr>
        <w:pStyle w:val="berschrift2"/>
      </w:pPr>
      <w:bookmarkStart w:id="226" w:name="_Toc121158694"/>
      <w:r>
        <w:t>Schlussfolgerung und Ausblick</w:t>
      </w:r>
      <w:bookmarkEnd w:id="226"/>
    </w:p>
    <w:p w14:paraId="1DF05067" w14:textId="77777777" w:rsidR="00C85902" w:rsidRDefault="00C85902" w:rsidP="0025355E">
      <w:r>
        <w:t xml:space="preserve">Die Forschungsergebnisse legen einen Einfluss von Mykoplasmen auf die Expression von CD276 nahe. Der Einfluss variiert jedoch zwischen den unterschiedlichen Zelllinien und auch zwischen an einem Tumor erkrankten und gesunden Zellen. Durch die länger bestehende Infektion bei den T24 und Cal29 Zellen waren die Effekte der Mykoplasmen Infektion bei diesen Zelllinien deutlicher erkennbar als bei den frisch infizierten Zellen. Sie wichen sowohl in ihrer Replikationsrate als auch morphologisch und ihrer Expression an CD276 von ihrer gesunden Vergleichspopulation ab. Der Einfluss durch die Infektion war bei den frisch infizierten Zellen schwächer ausgeprägt aber dennoch sowohl bei der Zelllinie HT1197 als auch bei den aus Harnleitern isolierten Zellen HL20/31 und HL20/32 im Vergleich mit der korrespondierenden gesunden Kohorte bereits messbar. </w:t>
      </w:r>
    </w:p>
    <w:p w14:paraId="27493897" w14:textId="77777777" w:rsidR="00C85902" w:rsidRDefault="00C85902" w:rsidP="003A0F46">
      <w:r>
        <w:t>Aufgrund dieser klaren und vielversprechenden Ergebnisse sollten die beschriebenen Untersuchungen erneut und gegebenenfalls mehrfach durchgeführt werden, um die Ergebnisse weiter zu stützen und zusätzliche Erkenntnisse zu gewinnen. Vor allem sollte ein längerer Zeitrahmen für die Untersuchung gewählt werden, da der Einfluss der Mykoplasmen auf die Morphologie und die molekularen Eigenschaften von der Dauer der Infektionszeit abhängt. Die eingangs gestellte Frage über den Einfluss von Mykoplasmen auf die Expression von CD276 ist nicht vollends geklärt. Die Frage nach dem genauen Pathomechanismus, durch den die Mykoplasmen eine Hochregulation der CD276 Expression in manchen der urothelialen Tumorzellen bewirken und in anderen jedoch nicht, konnte durch diese Untersuchungen nicht geklärt werden. Das Ergebnis der Untersuchungen ist für einen klinischen Einsatz möglicherweise von großer Bedeutung, da es aktuell noch Bestandteil der Forschung ist, einen Marker für das Urothelkarzinom der Blase zu etablieren, um ein besseres Screening und Monitoring des Therapieansprechens bei Blasenkrebs zu ermöglichen. CD276 ist ein vielversprechender Marker für Blasenkrebs und da Mykoplasmen gehäuft in der Bevölkerung vorkommen und asymptomatisch über eine lange Zeit im Urogenitaltrakt persistieren und dort wirken können, ist eine weitere Erforschung des Einflusses von Mykoplasmen notwendig.</w:t>
      </w:r>
      <w:r w:rsidRPr="00E50EFE">
        <w:t xml:space="preserve"> </w:t>
      </w:r>
      <w:r>
        <w:t>Für andere Krebsarten, wie beispielsweise das Magenkarzinom, hat sich das Screening auf und die Eradikation von Mikroorganismen bereits eine wichtige Rolle eingenommen, um eine Krebserkrankung zu vermeiden.</w:t>
      </w:r>
    </w:p>
    <w:p w14:paraId="3F0CC309" w14:textId="77777777" w:rsidR="00C85902" w:rsidRDefault="00C85902" w:rsidP="003A0F46">
      <w:r>
        <w:t>Weitere Studien sind erforderlich, um das Verhalten der frisch infizierten Zellen über einen längeren Zeitraum zu beobachten und um die Veränderungen im Verlauf zu beurteilen. Ein weiterer wichtiger Forschungsaspekt ist das Verständnis der Signalwege, welche die Mykoplasmen in den Zellen beeinflussen, um die Veränderung der Expression von CD276 und anderen Faktoren zu bewirken. Unabdingbar für eine abschließende Klärung der Frage nach dem Einfluss von Mykoplasmen auf die Expression von CD276 ist außerdem die Untersuchung einer größeren Fallzahl und eine Beteiligung weiterer Untersucher, um Zufallsbefunde und spontane Mutationen auszuschließen und eine Konsolidierung der Ergebnisse zu erreichen. Dies ist allerdings aufwendig und erfordert weitere personelle, finanzielle und logistische Unterstützung</w:t>
      </w:r>
      <w:r w:rsidRPr="005C16E7">
        <w:t xml:space="preserve"> </w:t>
      </w:r>
    </w:p>
    <w:p w14:paraId="67A3035D" w14:textId="77777777" w:rsidR="00C85902" w:rsidRDefault="00C85902" w:rsidP="00362900">
      <w:pPr>
        <w:spacing w:line="259" w:lineRule="auto"/>
      </w:pPr>
      <w:r>
        <w:br w:type="page"/>
      </w:r>
    </w:p>
    <w:p w14:paraId="73C4F17B" w14:textId="77777777" w:rsidR="00C85902" w:rsidRDefault="00C85902" w:rsidP="00042C3F">
      <w:pPr>
        <w:pStyle w:val="berschrift1"/>
      </w:pPr>
      <w:bookmarkStart w:id="227" w:name="_Toc121158695"/>
      <w:r w:rsidRPr="00383E33">
        <w:t>Zusammenfassung</w:t>
      </w:r>
      <w:bookmarkEnd w:id="227"/>
    </w:p>
    <w:p w14:paraId="6570EEB2" w14:textId="5F2581FC" w:rsidR="00C85902" w:rsidRDefault="00C85902" w:rsidP="002577CF">
      <w:r>
        <w:t xml:space="preserve">CD276 ist ein </w:t>
      </w:r>
      <w:r w:rsidR="002521B9">
        <w:t xml:space="preserve">neuer </w:t>
      </w:r>
      <w:r>
        <w:t>vielversprechender Marker für die Diagnostik und Behand</w:t>
      </w:r>
      <w:r w:rsidR="00BA3F1C">
        <w:t>-</w:t>
      </w:r>
      <w:r>
        <w:t xml:space="preserve">lung von Blasenkrebs. Ziel der Arbeit war die Klärung der Frage, ob und wenn ja auf welcher Ebene eine häufig asymptomatische Infektion mit Mykoplasmen einen Einfluss auf die </w:t>
      </w:r>
      <w:r w:rsidR="00BA3F1C">
        <w:t xml:space="preserve">zelluläre </w:t>
      </w:r>
      <w:r>
        <w:t>CD276 Expression bei Blasenkrebs hat.</w:t>
      </w:r>
    </w:p>
    <w:p w14:paraId="38821BF9" w14:textId="1BD1EAB2" w:rsidR="00C85902" w:rsidRDefault="00C85902" w:rsidP="002577CF">
      <w:r>
        <w:t xml:space="preserve">Es wurde mit infizierten und nicht-infizierten Zellkulturen der </w:t>
      </w:r>
      <w:r w:rsidR="00BA3F1C">
        <w:t xml:space="preserve">kommerziellen </w:t>
      </w:r>
      <w:r w:rsidR="002521B9">
        <w:t>Tumorz</w:t>
      </w:r>
      <w:r>
        <w:t xml:space="preserve">elllinien T24, Cal29 und HT1197 und mit aus OP-Präparaten isolierten Urothelzellen (HL 20/31 und HL 20/32) gearbeitet. Die Methoden umfassen </w:t>
      </w:r>
      <w:r w:rsidR="00452FCB">
        <w:t xml:space="preserve">die </w:t>
      </w:r>
      <w:r>
        <w:t>Ermittlung der Proliferationsrate und morphologische Unterschiede, Bestim</w:t>
      </w:r>
      <w:r w:rsidR="00BA3F1C">
        <w:t>-</w:t>
      </w:r>
      <w:r>
        <w:t>mung der CD276 mRNA mittels qRT-PCR, die CD276 Proteinbestimmung mittels Western Blot und Messung der CD276 Oberflächen</w:t>
      </w:r>
      <w:r w:rsidR="00BA3F1C">
        <w:t>-</w:t>
      </w:r>
      <w:r>
        <w:t>expression in der Durchflusszytometrie.</w:t>
      </w:r>
    </w:p>
    <w:p w14:paraId="7277FC37" w14:textId="56F90861" w:rsidR="00C85902" w:rsidRDefault="00C85902" w:rsidP="002577CF">
      <w:r>
        <w:t>Hinsichtlich der Morphologie und Proliferation ließ sich bei allen mit Myko</w:t>
      </w:r>
      <w:r w:rsidR="00BA3F1C">
        <w:t>-</w:t>
      </w:r>
      <w:r>
        <w:t>plasmen infizierten Proben ein vermehrter Zelltod und ein weniger kohärentes Wachstum als bei den nicht-infizierten Zellen beobachten. Bei T24 und Cal29 ließ sich zusätzlich eine erhöhte Proliferationsrate bei den infizierten Zellen beobachten. Im Rahmen der qRT-PCR zeigte sich bei den mit Mykoplasmen infizierten T24 und HL 20/32 Zellen eine größere Menge an CD276 mRNA. Bei den infizierten Cal29, HT1197 und HL 20/31 zeigte sich eine geringere Menge CD276 mRNA als bei der nicht-infizierten Referenz Gruppe. Bei SDS PAGE und dem quantitativen Western Blot zeigt sich bei den infizierten Cal29, T24 HL20/31eine geringere Menge CD276 Protein als bei der nicht-infizierten Zell</w:t>
      </w:r>
      <w:r w:rsidR="00BA3F1C">
        <w:t>-</w:t>
      </w:r>
      <w:r>
        <w:t>population</w:t>
      </w:r>
      <w:r w:rsidRPr="00057E5E">
        <w:t>. Bei HT1197 war kein eindeutiger Unterschied erkennbar</w:t>
      </w:r>
      <w:r>
        <w:t>. Die Durch</w:t>
      </w:r>
      <w:r w:rsidR="00BA3F1C">
        <w:t>-</w:t>
      </w:r>
      <w:r>
        <w:t xml:space="preserve">flusszytometrie zeigte bei den infizierten T24 und HT1197 Zellen eine höhere und bei den infizierten Cal29 eine niedrigere Expression an oberflächlichen CD276 als bei der gesunden Referenz. </w:t>
      </w:r>
    </w:p>
    <w:p w14:paraId="0013C53E" w14:textId="3CF879C9" w:rsidR="00C85902" w:rsidRDefault="00C85902" w:rsidP="002C3875">
      <w:r>
        <w:t>Die Ergebnisse legen einen Einfluss von Mykoplasmen auf die CD276 Expression nahe. Weitere Untersuchungen sind nötig, um die Ergebnisse zu konsolidieren und die genutzten Signalwege zur Regulierung der CD276 Expression zu erforschen und zu entscheiden, ob bei Blasenkrebs ein</w:t>
      </w:r>
      <w:r w:rsidR="00BA3F1C">
        <w:t xml:space="preserve"> </w:t>
      </w:r>
      <w:r>
        <w:t>sys</w:t>
      </w:r>
      <w:r w:rsidR="00BA3F1C">
        <w:t>-</w:t>
      </w:r>
      <w:r>
        <w:t>tematisches Screening auf und eine Eradikation von Mykoplasmen sinnvoll</w:t>
      </w:r>
      <w:r w:rsidR="00452FCB">
        <w:t xml:space="preserve"> i</w:t>
      </w:r>
      <w:r>
        <w:t>st</w:t>
      </w:r>
      <w:r w:rsidR="00BA3F1C">
        <w:t>.</w:t>
      </w:r>
    </w:p>
    <w:p w14:paraId="578F91DD" w14:textId="77777777" w:rsidR="00C85902" w:rsidRDefault="00C85902" w:rsidP="00362900"/>
    <w:p w14:paraId="39DBB0AF" w14:textId="77777777" w:rsidR="00C85902" w:rsidRPr="00C761B7" w:rsidRDefault="00C85902" w:rsidP="00C85902">
      <w:pPr>
        <w:pStyle w:val="berschrift1"/>
      </w:pPr>
      <w:r w:rsidRPr="00F720CB">
        <w:br w:type="page"/>
      </w:r>
      <w:bookmarkStart w:id="228" w:name="_Toc121158696"/>
      <w:r w:rsidRPr="00042C3F">
        <w:rPr>
          <w:rStyle w:val="berschrift1Zchn"/>
        </w:rPr>
        <w:t>Literaturverzeichnis</w:t>
      </w:r>
      <w:r>
        <w:rPr>
          <w:rStyle w:val="berschrift1Zchn"/>
        </w:rPr>
        <w:t>:</w:t>
      </w:r>
      <w:bookmarkEnd w:id="228"/>
    </w:p>
    <w:p w14:paraId="3C15F255" w14:textId="77777777" w:rsidR="00C85902" w:rsidRDefault="00C85902" w:rsidP="001B35D4">
      <w:pPr>
        <w:spacing w:line="240" w:lineRule="auto"/>
        <w:rPr>
          <w:highlight w:val="yellow"/>
        </w:rPr>
      </w:pPr>
    </w:p>
    <w:p w14:paraId="30FE68AB" w14:textId="77777777" w:rsidR="00C85902" w:rsidRPr="00BB55EF" w:rsidRDefault="00C85902" w:rsidP="00CF2323">
      <w:pPr>
        <w:pStyle w:val="EndNoteBibliography"/>
        <w:spacing w:after="0"/>
        <w:ind w:left="720" w:hanging="720"/>
        <w:rPr>
          <w:lang w:val="de-DE"/>
        </w:rPr>
      </w:pPr>
      <w:r w:rsidRPr="00BB55EF">
        <w:rPr>
          <w:lang w:val="de-DE"/>
        </w:rPr>
        <w:t xml:space="preserve">ABELE-HORN, M. 2004. Mykoplasmen. </w:t>
      </w:r>
      <w:r w:rsidRPr="00C85902">
        <w:rPr>
          <w:i/>
          <w:lang w:val="de-DE"/>
        </w:rPr>
        <w:t>In:</w:t>
      </w:r>
      <w:r w:rsidRPr="00C85902">
        <w:rPr>
          <w:lang w:val="de-DE"/>
        </w:rPr>
        <w:t xml:space="preserve"> ADAM, D., DOERR, H. W., LINK, H. &amp; LODE, H. (eds.) </w:t>
      </w:r>
      <w:r w:rsidRPr="00BB55EF">
        <w:rPr>
          <w:i/>
          <w:lang w:val="de-DE"/>
        </w:rPr>
        <w:t>Die Infektiologie.</w:t>
      </w:r>
      <w:r w:rsidRPr="00BB55EF">
        <w:rPr>
          <w:lang w:val="de-DE"/>
        </w:rPr>
        <w:t xml:space="preserve"> Berlin, Heidelberg: Springer Berlin Heidelberg.</w:t>
      </w:r>
    </w:p>
    <w:p w14:paraId="2B022E08" w14:textId="77777777" w:rsidR="00C85902" w:rsidRPr="00CF2323" w:rsidRDefault="00C85902" w:rsidP="00CF2323">
      <w:pPr>
        <w:pStyle w:val="EndNoteBibliography"/>
        <w:spacing w:after="0"/>
        <w:ind w:left="720" w:hanging="720"/>
      </w:pPr>
      <w:r w:rsidRPr="006B7C0A">
        <w:rPr>
          <w:lang w:val="de-DE"/>
        </w:rPr>
        <w:t xml:space="preserve">ABERN, M. R., OWUSU, R. A., ANDERSON, M. R., RAMPERSAUD, E. N. &amp; INMAN, B. A. 2013. </w:t>
      </w:r>
      <w:r w:rsidRPr="00CF2323">
        <w:t xml:space="preserve">Perioperative intravesical chemotherapy in non–muscle-invasive bladder cancer: a systematic review and meta-analysis. </w:t>
      </w:r>
      <w:r w:rsidRPr="00CF2323">
        <w:rPr>
          <w:i/>
        </w:rPr>
        <w:t>Journal of the National Comprehensive Cancer Network,</w:t>
      </w:r>
      <w:r w:rsidRPr="00CF2323">
        <w:t xml:space="preserve"> 11</w:t>
      </w:r>
      <w:r w:rsidRPr="00CF2323">
        <w:rPr>
          <w:b/>
        </w:rPr>
        <w:t>,</w:t>
      </w:r>
      <w:r w:rsidRPr="00CF2323">
        <w:t xml:space="preserve"> 477-484.</w:t>
      </w:r>
    </w:p>
    <w:p w14:paraId="0DACAE71" w14:textId="77777777" w:rsidR="00C85902" w:rsidRPr="00CF2323" w:rsidRDefault="00C85902" w:rsidP="00CF2323">
      <w:pPr>
        <w:pStyle w:val="EndNoteBibliography"/>
        <w:spacing w:after="0"/>
        <w:ind w:left="720" w:hanging="720"/>
      </w:pPr>
      <w:r w:rsidRPr="00CF2323">
        <w:t xml:space="preserve">AHMED, M., CHENG, M., ZHAO, Q., GOLDGUR, Y., CHEAL, S. M., GUO, H.-F., LARSON, S. M. &amp; CHEUNG, N.-K. V. 2015. Humanized affinity-matured monoclonal antibody 8H9 has potent antitumor activity and binds to FG loop of tumor antigen B7-H3. </w:t>
      </w:r>
      <w:r w:rsidRPr="00CF2323">
        <w:rPr>
          <w:i/>
        </w:rPr>
        <w:t>Journal of Biological Chemistry,</w:t>
      </w:r>
      <w:r w:rsidRPr="00CF2323">
        <w:t xml:space="preserve"> 290</w:t>
      </w:r>
      <w:r w:rsidRPr="00CF2323">
        <w:rPr>
          <w:b/>
        </w:rPr>
        <w:t>,</w:t>
      </w:r>
      <w:r w:rsidRPr="00CF2323">
        <w:t xml:space="preserve"> 30018-30029.</w:t>
      </w:r>
    </w:p>
    <w:p w14:paraId="34ACEE1B" w14:textId="77777777" w:rsidR="00C85902" w:rsidRPr="00CF2323" w:rsidRDefault="00C85902" w:rsidP="00CF2323">
      <w:pPr>
        <w:pStyle w:val="EndNoteBibliography"/>
        <w:spacing w:after="0"/>
        <w:ind w:left="720" w:hanging="720"/>
      </w:pPr>
      <w:r w:rsidRPr="00CF2323">
        <w:t xml:space="preserve">AMERICAN CANCER SOCIETY. o.J. </w:t>
      </w:r>
      <w:r w:rsidRPr="00CF2323">
        <w:rPr>
          <w:i/>
        </w:rPr>
        <w:t xml:space="preserve">Bladder Cancer Risk Factors </w:t>
      </w:r>
      <w:r w:rsidRPr="00CF2323">
        <w:t xml:space="preserve">[Online]. Available: </w:t>
      </w:r>
      <w:r w:rsidRPr="00C85902">
        <w:t>https://www.cancer.org/cancer/bladder-cancer/causes-risks-prevention/risk-factors.html#references</w:t>
      </w:r>
      <w:r w:rsidRPr="00CF2323">
        <w:t xml:space="preserve"> [Accessed 10.04.2022 2022].</w:t>
      </w:r>
    </w:p>
    <w:p w14:paraId="69375F77" w14:textId="77777777" w:rsidR="00C85902" w:rsidRPr="00CF2323" w:rsidRDefault="00C85902" w:rsidP="00CF2323">
      <w:pPr>
        <w:pStyle w:val="EndNoteBibliography"/>
        <w:spacing w:after="0"/>
        <w:ind w:left="720" w:hanging="720"/>
      </w:pPr>
      <w:r w:rsidRPr="00CF2323">
        <w:t xml:space="preserve">AMIEVA, M. &amp; PEEK JR, R. M. 2016. Pathobiology of Helicobacter pylori–induced gastric cancer. </w:t>
      </w:r>
      <w:r w:rsidRPr="00CF2323">
        <w:rPr>
          <w:i/>
        </w:rPr>
        <w:t>Gastroenterology,</w:t>
      </w:r>
      <w:r w:rsidRPr="00CF2323">
        <w:t xml:space="preserve"> 150</w:t>
      </w:r>
      <w:r w:rsidRPr="00CF2323">
        <w:rPr>
          <w:b/>
        </w:rPr>
        <w:t>,</w:t>
      </w:r>
      <w:r w:rsidRPr="00CF2323">
        <w:t xml:space="preserve"> 64-78.</w:t>
      </w:r>
    </w:p>
    <w:p w14:paraId="0C565A62" w14:textId="77777777" w:rsidR="00C85902" w:rsidRPr="00BB55EF" w:rsidRDefault="00C85902" w:rsidP="00CF2323">
      <w:pPr>
        <w:pStyle w:val="EndNoteBibliography"/>
        <w:spacing w:after="0"/>
        <w:ind w:left="720" w:hanging="720"/>
        <w:rPr>
          <w:lang w:val="de-DE"/>
        </w:rPr>
      </w:pPr>
      <w:r w:rsidRPr="00CF2323">
        <w:t xml:space="preserve">ARIGAMI, T., NARITA, N., MIZUNO, R., NGUYEN, L., YE, X., CHUNG, A., GIULIANO, A. E. &amp; HOON, D. S. B. 2010. B7–H3 Ligand Expression by Primary Breast Cancer and Associated With Regional Nodal Metastasis. </w:t>
      </w:r>
      <w:r w:rsidRPr="00BB55EF">
        <w:rPr>
          <w:i/>
          <w:lang w:val="de-DE"/>
        </w:rPr>
        <w:t>Annals of Surgery,</w:t>
      </w:r>
      <w:r w:rsidRPr="00BB55EF">
        <w:rPr>
          <w:lang w:val="de-DE"/>
        </w:rPr>
        <w:t xml:space="preserve"> 252.</w:t>
      </w:r>
    </w:p>
    <w:p w14:paraId="67D628A2" w14:textId="77777777" w:rsidR="00C85902" w:rsidRPr="00CF2323" w:rsidRDefault="00C85902" w:rsidP="00CF2323">
      <w:pPr>
        <w:pStyle w:val="EndNoteBibliography"/>
        <w:spacing w:after="0"/>
        <w:ind w:left="720" w:hanging="720"/>
      </w:pPr>
      <w:r w:rsidRPr="00BB55EF">
        <w:rPr>
          <w:lang w:val="de-DE"/>
        </w:rPr>
        <w:t xml:space="preserve">ÄRZTEBLATT. 1996. </w:t>
      </w:r>
      <w:r w:rsidRPr="00BB55EF">
        <w:rPr>
          <w:i/>
          <w:lang w:val="de-DE"/>
        </w:rPr>
        <w:t xml:space="preserve">Oberflächliches Blasenkarzinom: Weniger Rezidive durch Mykobakterien </w:t>
      </w:r>
      <w:r w:rsidRPr="00BB55EF">
        <w:rPr>
          <w:lang w:val="de-DE"/>
        </w:rPr>
        <w:t xml:space="preserve">[Online]. </w:t>
      </w:r>
      <w:r w:rsidRPr="00CF2323">
        <w:t xml:space="preserve">Ärzteblatt. Available: </w:t>
      </w:r>
      <w:r w:rsidRPr="00C85902">
        <w:t>https://www.aerzteblatt.de/archiv/3996/Oberflaechliches-Blasenkarzinom-Weniger-Rezidive-durch-Mykobakterien</w:t>
      </w:r>
      <w:r w:rsidRPr="00CF2323">
        <w:t xml:space="preserve"> [Accessed 22.05.2022 2022].</w:t>
      </w:r>
    </w:p>
    <w:p w14:paraId="1DE1B030" w14:textId="77777777" w:rsidR="00C85902" w:rsidRPr="00CF2323" w:rsidRDefault="00C85902" w:rsidP="00CF2323">
      <w:pPr>
        <w:pStyle w:val="EndNoteBibliography"/>
        <w:spacing w:after="0"/>
        <w:ind w:left="720" w:hanging="720"/>
      </w:pPr>
      <w:r w:rsidRPr="00C85902">
        <w:rPr>
          <w:lang w:val="de-DE"/>
        </w:rPr>
        <w:t xml:space="preserve">ATCC. o.J. </w:t>
      </w:r>
      <w:r w:rsidRPr="00C85902">
        <w:rPr>
          <w:i/>
          <w:lang w:val="de-DE"/>
        </w:rPr>
        <w:t xml:space="preserve">T24 </w:t>
      </w:r>
      <w:r w:rsidRPr="00C85902">
        <w:rPr>
          <w:lang w:val="de-DE"/>
        </w:rPr>
        <w:t xml:space="preserve">[Online]. </w:t>
      </w:r>
      <w:r w:rsidRPr="00CF2323">
        <w:t xml:space="preserve">Available: </w:t>
      </w:r>
      <w:r w:rsidRPr="00C85902">
        <w:t>https://www.atcc.org/products/htb-4</w:t>
      </w:r>
      <w:r w:rsidRPr="00CF2323">
        <w:t xml:space="preserve"> [Accessed 11.04.2022].</w:t>
      </w:r>
    </w:p>
    <w:p w14:paraId="7630D309" w14:textId="77777777" w:rsidR="00C85902" w:rsidRPr="00CF2323" w:rsidRDefault="00C85902" w:rsidP="00CF2323">
      <w:pPr>
        <w:pStyle w:val="EndNoteBibliography"/>
        <w:spacing w:after="0"/>
        <w:ind w:left="720" w:hanging="720"/>
      </w:pPr>
      <w:r w:rsidRPr="00CF2323">
        <w:t xml:space="preserve">ATCC. o.J. . </w:t>
      </w:r>
      <w:r w:rsidRPr="00CF2323">
        <w:rPr>
          <w:i/>
        </w:rPr>
        <w:t xml:space="preserve">HT1197 </w:t>
      </w:r>
      <w:r w:rsidRPr="00CF2323">
        <w:t xml:space="preserve">[Online]. Available: </w:t>
      </w:r>
      <w:r w:rsidRPr="00C85902">
        <w:t>https://www.atcc.org/products/crl-1473</w:t>
      </w:r>
      <w:r w:rsidRPr="00CF2323">
        <w:t xml:space="preserve"> [Accessed 11.04.2022 2022].</w:t>
      </w:r>
    </w:p>
    <w:p w14:paraId="4A1D09EA" w14:textId="77777777" w:rsidR="00C85902" w:rsidRPr="00CF2323" w:rsidRDefault="00C85902" w:rsidP="00CF2323">
      <w:pPr>
        <w:pStyle w:val="EndNoteBibliography"/>
        <w:spacing w:after="0"/>
        <w:ind w:left="720" w:hanging="720"/>
      </w:pPr>
      <w:r w:rsidRPr="00CF2323">
        <w:t xml:space="preserve">AYATI, M., AMINI, E., SHAHROKHI DAMAVAND, R., NOWROOZI, M. R., SOLEIMANI, M., RANJBAR, E. &amp; NOWROOZI, A. 2019. Second Transurethral Resection of Bladder Tumor: Is it Necessary in All T1 and/or High-Grade Tumors? </w:t>
      </w:r>
      <w:r w:rsidRPr="00CF2323">
        <w:rPr>
          <w:i/>
        </w:rPr>
        <w:t>Urology Journal,</w:t>
      </w:r>
      <w:r w:rsidRPr="00CF2323">
        <w:t xml:space="preserve"> 16</w:t>
      </w:r>
      <w:r w:rsidRPr="00CF2323">
        <w:rPr>
          <w:b/>
        </w:rPr>
        <w:t>,</w:t>
      </w:r>
      <w:r w:rsidRPr="00CF2323">
        <w:t xml:space="preserve"> 152-156.</w:t>
      </w:r>
    </w:p>
    <w:p w14:paraId="57122368" w14:textId="77777777" w:rsidR="00C85902" w:rsidRPr="00CF2323" w:rsidRDefault="00C85902" w:rsidP="00CF2323">
      <w:pPr>
        <w:pStyle w:val="EndNoteBibliography"/>
        <w:spacing w:after="0"/>
        <w:ind w:left="720" w:hanging="720"/>
      </w:pPr>
      <w:r w:rsidRPr="00CF2323">
        <w:t xml:space="preserve">AZOULAY, L., YIN, H., FILION, K. B., ASSAYAG, J., MAJDAN, A., POLLAK, M. N. &amp; SUISSA, S. 2012. The use of pioglitazone and the risk of bladder cancer in people with type 2 diabetes: nested case-control study. </w:t>
      </w:r>
      <w:r w:rsidRPr="00CF2323">
        <w:rPr>
          <w:i/>
        </w:rPr>
        <w:t>BMJ : British Medical Journal,</w:t>
      </w:r>
      <w:r w:rsidRPr="00CF2323">
        <w:t xml:space="preserve"> 344</w:t>
      </w:r>
      <w:r w:rsidRPr="00CF2323">
        <w:rPr>
          <w:b/>
        </w:rPr>
        <w:t>,</w:t>
      </w:r>
      <w:r w:rsidRPr="00CF2323">
        <w:t xml:space="preserve"> e3645.</w:t>
      </w:r>
    </w:p>
    <w:p w14:paraId="6DE53EF8" w14:textId="77777777" w:rsidR="00C85902" w:rsidRPr="00CF2323" w:rsidRDefault="00C85902" w:rsidP="00CF2323">
      <w:pPr>
        <w:pStyle w:val="EndNoteBibliography"/>
        <w:spacing w:after="0"/>
        <w:ind w:left="720" w:hanging="720"/>
      </w:pPr>
      <w:r w:rsidRPr="00CF2323">
        <w:t xml:space="preserve">BARTFELD, S., BAYRAM, T., VAN DE WETERING, M., HUCH, M., BEGTHEL, H., KUJALA, P., VRIES, R., PETERS, P. J. &amp; CLEVERS, H. 2015. In vitro expansion of human gastric epithelial stem cells and their responses to bacterial infection. </w:t>
      </w:r>
      <w:r w:rsidRPr="00CF2323">
        <w:rPr>
          <w:i/>
        </w:rPr>
        <w:t>Gastroenterology,</w:t>
      </w:r>
      <w:r w:rsidRPr="00CF2323">
        <w:t xml:space="preserve"> 148</w:t>
      </w:r>
      <w:r w:rsidRPr="00CF2323">
        <w:rPr>
          <w:b/>
        </w:rPr>
        <w:t>,</w:t>
      </w:r>
      <w:r w:rsidRPr="00CF2323">
        <w:t xml:space="preserve"> 126-136. e6.</w:t>
      </w:r>
    </w:p>
    <w:p w14:paraId="0EADA968" w14:textId="77777777" w:rsidR="00C85902" w:rsidRPr="00CF2323" w:rsidRDefault="00C85902" w:rsidP="00CF2323">
      <w:pPr>
        <w:pStyle w:val="EndNoteBibliography"/>
        <w:spacing w:after="0"/>
        <w:ind w:left="720" w:hanging="720"/>
      </w:pPr>
      <w:r w:rsidRPr="00CF2323">
        <w:t xml:space="preserve">BARYKOVA, Y. A., LOGUNOV, D. Y., SHMAROV, M. M., VINAROV, A. Z., FIEV, D. N., VINAROVA, N. A., RAKOVSKAYA, I. V., BAKER, P. S., SHYSHYNOVA, I., STEPHENSON, A. J., KLEIN, E. A., NARODITSKY, B. S., GINTSBURG, A. L. &amp; GUDKOV, A. V. 2011. Association of Mycoplasma hominis infection with prostate cancer. </w:t>
      </w:r>
      <w:r w:rsidRPr="00CF2323">
        <w:rPr>
          <w:i/>
        </w:rPr>
        <w:t>Oncotarget,</w:t>
      </w:r>
      <w:r w:rsidRPr="00CF2323">
        <w:t xml:space="preserve"> 2</w:t>
      </w:r>
      <w:r w:rsidRPr="00CF2323">
        <w:rPr>
          <w:b/>
        </w:rPr>
        <w:t>,</w:t>
      </w:r>
      <w:r w:rsidRPr="00CF2323">
        <w:t xml:space="preserve"> 289-97.</w:t>
      </w:r>
    </w:p>
    <w:p w14:paraId="3748B141" w14:textId="77777777" w:rsidR="00C85902" w:rsidRPr="00CF2323" w:rsidRDefault="00C85902" w:rsidP="00CF2323">
      <w:pPr>
        <w:pStyle w:val="EndNoteBibliography"/>
        <w:spacing w:after="0"/>
        <w:ind w:left="720" w:hanging="720"/>
      </w:pPr>
      <w:r w:rsidRPr="00CF2323">
        <w:t xml:space="preserve">BIONTEX LABORATORIES GMBH. o.J. </w:t>
      </w:r>
      <w:r w:rsidRPr="00CF2323">
        <w:rPr>
          <w:i/>
        </w:rPr>
        <w:t xml:space="preserve">MycoSPY- PCR Mycoplasmen Test Kit </w:t>
      </w:r>
      <w:r w:rsidRPr="00CF2323">
        <w:t xml:space="preserve">[Online]. Available: </w:t>
      </w:r>
      <w:r w:rsidRPr="00C85902">
        <w:t>https://www.biontex.com/mycospy.html</w:t>
      </w:r>
      <w:r w:rsidRPr="00CF2323">
        <w:t xml:space="preserve"> [Accessed 26.09.2022].</w:t>
      </w:r>
    </w:p>
    <w:p w14:paraId="7AC4E679" w14:textId="77777777" w:rsidR="00C85902" w:rsidRPr="00CF2323" w:rsidRDefault="00C85902" w:rsidP="00CF2323">
      <w:pPr>
        <w:pStyle w:val="EndNoteBibliography"/>
        <w:spacing w:after="0"/>
        <w:ind w:left="720" w:hanging="720"/>
      </w:pPr>
      <w:r w:rsidRPr="00CF2323">
        <w:t xml:space="preserve">BLICK, C. G. T., NAZIR, S. A., MALLETT, S., TURNEY, B. W., ONWU, N. N., ROBERTS, I. S. D., CREW, J. P. &amp; COWAN, N. C. 2012. Evaluation of diagnostic strategies for bladder cancer using computed tomography (CT) urography, flexible cystoscopy and voided urine cytology: results for 778 patients from a hospital haematuria clinic. </w:t>
      </w:r>
      <w:r w:rsidRPr="00CF2323">
        <w:rPr>
          <w:i/>
        </w:rPr>
        <w:t>BJU International,</w:t>
      </w:r>
      <w:r w:rsidRPr="00CF2323">
        <w:t xml:space="preserve"> 110</w:t>
      </w:r>
      <w:r w:rsidRPr="00CF2323">
        <w:rPr>
          <w:b/>
        </w:rPr>
        <w:t>,</w:t>
      </w:r>
      <w:r w:rsidRPr="00CF2323">
        <w:t xml:space="preserve"> 84-94.</w:t>
      </w:r>
    </w:p>
    <w:p w14:paraId="6ECAA451" w14:textId="77777777" w:rsidR="00C85902" w:rsidRPr="00CF2323" w:rsidRDefault="00C85902" w:rsidP="00CF2323">
      <w:pPr>
        <w:pStyle w:val="EndNoteBibliography"/>
        <w:spacing w:after="0"/>
        <w:ind w:left="720" w:hanging="720"/>
      </w:pPr>
      <w:r w:rsidRPr="00CF2323">
        <w:t xml:space="preserve">BLISKA, J. B., GALÁN, J. E. &amp; FALKOW, S. 1993. Signal transduction in the mammalian cell during bacterial attachment and entry. </w:t>
      </w:r>
      <w:r w:rsidRPr="00CF2323">
        <w:rPr>
          <w:i/>
        </w:rPr>
        <w:t>Cell,</w:t>
      </w:r>
      <w:r w:rsidRPr="00CF2323">
        <w:t xml:space="preserve"> 73</w:t>
      </w:r>
      <w:r w:rsidRPr="00CF2323">
        <w:rPr>
          <w:b/>
        </w:rPr>
        <w:t>,</w:t>
      </w:r>
      <w:r w:rsidRPr="00CF2323">
        <w:t xml:space="preserve"> 903-920.</w:t>
      </w:r>
    </w:p>
    <w:p w14:paraId="6F0EBB12" w14:textId="77777777" w:rsidR="00C85902" w:rsidRPr="00CF2323" w:rsidRDefault="00C85902" w:rsidP="00CF2323">
      <w:pPr>
        <w:pStyle w:val="EndNoteBibliography"/>
        <w:spacing w:after="0"/>
        <w:ind w:left="720" w:hanging="720"/>
      </w:pPr>
      <w:r w:rsidRPr="00CF2323">
        <w:t xml:space="preserve">BÖHLE, A. &amp; BOCK, P. R. 2004. Intravesical bacille calmette-guérin versus mitomycin c in superficial bladder cancer: formal meta-analysis of comparative studies on tumor progression. </w:t>
      </w:r>
      <w:r w:rsidRPr="00CF2323">
        <w:rPr>
          <w:i/>
        </w:rPr>
        <w:t>Urology,</w:t>
      </w:r>
      <w:r w:rsidRPr="00CF2323">
        <w:t xml:space="preserve"> 63</w:t>
      </w:r>
      <w:r w:rsidRPr="00CF2323">
        <w:rPr>
          <w:b/>
        </w:rPr>
        <w:t>,</w:t>
      </w:r>
      <w:r w:rsidRPr="00CF2323">
        <w:t xml:space="preserve"> 682-686.</w:t>
      </w:r>
    </w:p>
    <w:p w14:paraId="232BA74A" w14:textId="77777777" w:rsidR="00C85902" w:rsidRPr="00CF2323" w:rsidRDefault="00C85902" w:rsidP="00CF2323">
      <w:pPr>
        <w:pStyle w:val="EndNoteBibliography"/>
        <w:spacing w:after="0"/>
        <w:ind w:left="720" w:hanging="720"/>
      </w:pPr>
      <w:r w:rsidRPr="00CF2323">
        <w:t xml:space="preserve">BOLENZ, C., WEST, A. M., ORTIZ, N., KABBANI, W. &amp; LOTAN, Y. 2013. Urinary cytology for the detection of urothelial carcinoma of the bladder—a flawed adjunct to cystoscopy? </w:t>
      </w:r>
      <w:r w:rsidRPr="00CF2323">
        <w:rPr>
          <w:i/>
        </w:rPr>
        <w:t>Urologic Oncology: Seminars and Original Investigations,</w:t>
      </w:r>
      <w:r w:rsidRPr="00CF2323">
        <w:t xml:space="preserve"> 31</w:t>
      </w:r>
      <w:r w:rsidRPr="00CF2323">
        <w:rPr>
          <w:b/>
        </w:rPr>
        <w:t>,</w:t>
      </w:r>
      <w:r w:rsidRPr="00CF2323">
        <w:t xml:space="preserve"> 366-371.</w:t>
      </w:r>
    </w:p>
    <w:p w14:paraId="5CBD7E33" w14:textId="77777777" w:rsidR="00C85902" w:rsidRPr="00CF2323" w:rsidRDefault="00C85902" w:rsidP="00CF2323">
      <w:pPr>
        <w:pStyle w:val="EndNoteBibliography"/>
        <w:spacing w:after="0"/>
        <w:ind w:left="720" w:hanging="720"/>
      </w:pPr>
      <w:r w:rsidRPr="00CF2323">
        <w:t xml:space="preserve">BONKAT, G. C., BARTOLETTI, R., BRUYÈRE, F., CAI, T., GEERLINGS, S. E., KÖVES, B., SCHUBERT, S., PILATZ, A., VEERATTERAPILLAY, R. &amp; WAGENLEHNER, F. 2022. </w:t>
      </w:r>
      <w:r w:rsidRPr="00CF2323">
        <w:rPr>
          <w:i/>
        </w:rPr>
        <w:t xml:space="preserve">European Association Urology EAU Guidelines. Edn. presented at the EAU Annual Congress Amsterdam, the Netherlands 2022, </w:t>
      </w:r>
      <w:r w:rsidRPr="00CF2323">
        <w:t>Arnhem, The Netherlands, EAU Guidelines Office.</w:t>
      </w:r>
    </w:p>
    <w:p w14:paraId="6C9F4CD5" w14:textId="77777777" w:rsidR="00C85902" w:rsidRPr="00CF2323" w:rsidRDefault="00C85902" w:rsidP="00CF2323">
      <w:pPr>
        <w:pStyle w:val="EndNoteBibliography"/>
        <w:spacing w:after="0"/>
        <w:ind w:left="720" w:hanging="720"/>
      </w:pPr>
      <w:r w:rsidRPr="00CF2323">
        <w:t xml:space="preserve">BORCHSENIUS, S. N., DAKS, A., FEDOROVA, O., CHERNOVA, O. &amp; BARLEV, N. A. 2018. Effects of mycoplasma infection on the host organism response via p53/NF-κB signaling. </w:t>
      </w:r>
      <w:r w:rsidRPr="00CF2323">
        <w:rPr>
          <w:i/>
        </w:rPr>
        <w:t>J Cell Physiol,</w:t>
      </w:r>
      <w:r w:rsidRPr="00CF2323">
        <w:t xml:space="preserve"> 234</w:t>
      </w:r>
      <w:r w:rsidRPr="00CF2323">
        <w:rPr>
          <w:b/>
        </w:rPr>
        <w:t>,</w:t>
      </w:r>
      <w:r w:rsidRPr="00CF2323">
        <w:t xml:space="preserve"> 171-180.</w:t>
      </w:r>
    </w:p>
    <w:p w14:paraId="36536D35" w14:textId="77777777" w:rsidR="00C85902" w:rsidRPr="00CF2323" w:rsidRDefault="00C85902" w:rsidP="00CF2323">
      <w:pPr>
        <w:pStyle w:val="EndNoteBibliography"/>
        <w:spacing w:after="0"/>
        <w:ind w:left="720" w:hanging="720"/>
      </w:pPr>
      <w:r w:rsidRPr="00CF2323">
        <w:t xml:space="preserve">BOUJEMAA, S., BEN ALLAYA, A., MLIK, B., MARDASSI, H. &amp; BEN ABDELMOUMEN MARDASSI, B. 2018. Phylogenetics of Mycoplasma hominis clinical strains associated with gynecological infections or infertility as disclosed by an expanded multilocus sequence typing scheme. </w:t>
      </w:r>
      <w:r w:rsidRPr="00CF2323">
        <w:rPr>
          <w:i/>
        </w:rPr>
        <w:t>Scientific reports,</w:t>
      </w:r>
      <w:r w:rsidRPr="00CF2323">
        <w:t xml:space="preserve"> 8</w:t>
      </w:r>
      <w:r w:rsidRPr="00CF2323">
        <w:rPr>
          <w:b/>
        </w:rPr>
        <w:t>,</w:t>
      </w:r>
      <w:r w:rsidRPr="00CF2323">
        <w:t xml:space="preserve"> 1-10.</w:t>
      </w:r>
    </w:p>
    <w:p w14:paraId="39915E66" w14:textId="77777777" w:rsidR="00C85902" w:rsidRPr="00CF2323" w:rsidRDefault="00C85902" w:rsidP="00CF2323">
      <w:pPr>
        <w:pStyle w:val="EndNoteBibliography"/>
        <w:spacing w:after="0"/>
        <w:ind w:left="720" w:hanging="720"/>
      </w:pPr>
      <w:r w:rsidRPr="00CF2323">
        <w:t xml:space="preserve">BRAHMER, J., RECKAMP, K. L., BAAS, P., CRINÒ, L., EBERHARDT, W. E. E., PODDUBSKAYA, E., ANTONIA, S., PLUZANSKI, A., VOKES, E. E., HOLGADO, E., WATERHOUSE, D., READY, N., GAINOR, J., ARÉN FRONTERA, O., HAVEL, L., STEINS, M., GARASSINO, M. C., AERTS, J. G., DOMINE, M., PAZ-ARES, L., RECK, M., BAUDELET, C., HARBISON, C. T., LESTINI, B. &amp; SPIGEL, D. R. 2015. Nivolumab versus Docetaxel in Advanced Squamous-Cell Non-Small-Cell Lung Cancer. </w:t>
      </w:r>
      <w:r w:rsidRPr="00CF2323">
        <w:rPr>
          <w:i/>
        </w:rPr>
        <w:t>The New England journal of medicine,</w:t>
      </w:r>
      <w:r w:rsidRPr="00CF2323">
        <w:t xml:space="preserve"> 373</w:t>
      </w:r>
      <w:r w:rsidRPr="00CF2323">
        <w:rPr>
          <w:b/>
        </w:rPr>
        <w:t>,</w:t>
      </w:r>
      <w:r w:rsidRPr="00CF2323">
        <w:t xml:space="preserve"> 123-135.</w:t>
      </w:r>
    </w:p>
    <w:p w14:paraId="18DF4839" w14:textId="77777777" w:rsidR="00C85902" w:rsidRPr="00CF2323" w:rsidRDefault="00C85902" w:rsidP="00CF2323">
      <w:pPr>
        <w:pStyle w:val="EndNoteBibliography"/>
        <w:spacing w:after="0"/>
        <w:ind w:left="720" w:hanging="720"/>
      </w:pPr>
      <w:r w:rsidRPr="00CF2323">
        <w:t xml:space="preserve">BRAHMER, J. R., TYKODI, S. S., CHOW, L. Q. M., HWU, W.-J., TOPALIAN, S. L., HWU, P., DRAKE, C. G., CAMACHO, L. H., KAUH, J., ODUNSI, K., PITOT, H. C., HAMID, O., BHATIA, S., MARTINS, R., EATON, K., CHEN, S., SALAY, T. M., ALAPARTHY, S., GROSSO, J. F., KORMAN, A. J., PARKER, S. M., AGRAWAL, S., GOLDBERG, S. M., PARDOLL, D. M., GUPTA, A. &amp; WIGGINTON, J. M. 2012. Safety and activity of anti-PD-L1 antibody in patients with advanced cancer. </w:t>
      </w:r>
      <w:r w:rsidRPr="00CF2323">
        <w:rPr>
          <w:i/>
        </w:rPr>
        <w:t>The New England journal of medicine,</w:t>
      </w:r>
      <w:r w:rsidRPr="00CF2323">
        <w:t xml:space="preserve"> 366</w:t>
      </w:r>
      <w:r w:rsidRPr="00CF2323">
        <w:rPr>
          <w:b/>
        </w:rPr>
        <w:t>,</w:t>
      </w:r>
      <w:r w:rsidRPr="00CF2323">
        <w:t xml:space="preserve"> 2455-2465.</w:t>
      </w:r>
    </w:p>
    <w:p w14:paraId="48E26C07" w14:textId="77777777" w:rsidR="00C85902" w:rsidRPr="00CF2323" w:rsidRDefault="00C85902" w:rsidP="00CF2323">
      <w:pPr>
        <w:pStyle w:val="EndNoteBibliography"/>
        <w:spacing w:after="0"/>
        <w:ind w:left="720" w:hanging="720"/>
      </w:pPr>
      <w:r w:rsidRPr="00F56657">
        <w:rPr>
          <w:lang w:val="en-GB"/>
        </w:rPr>
        <w:t xml:space="preserve">BROWN, M. L., RILEY, G. F., SCHUSSLER, N. &amp; ETZIONI, R. 2002. </w:t>
      </w:r>
      <w:r w:rsidRPr="00CF2323">
        <w:t xml:space="preserve">Estimating Health Care Costs Related to Cancer Treatment from SEER-Medicare Data. </w:t>
      </w:r>
      <w:r w:rsidRPr="00CF2323">
        <w:rPr>
          <w:i/>
        </w:rPr>
        <w:t>Medical Care,</w:t>
      </w:r>
      <w:r w:rsidRPr="00CF2323">
        <w:t xml:space="preserve"> 40</w:t>
      </w:r>
      <w:r w:rsidRPr="00CF2323">
        <w:rPr>
          <w:b/>
        </w:rPr>
        <w:t>,</w:t>
      </w:r>
      <w:r w:rsidRPr="00CF2323">
        <w:t xml:space="preserve"> IV104-IV117.</w:t>
      </w:r>
    </w:p>
    <w:p w14:paraId="315720A9" w14:textId="77777777" w:rsidR="00C85902" w:rsidRPr="00CF2323" w:rsidRDefault="00C85902" w:rsidP="00CF2323">
      <w:pPr>
        <w:pStyle w:val="EndNoteBibliography"/>
        <w:spacing w:after="0"/>
        <w:ind w:left="720" w:hanging="720"/>
      </w:pPr>
      <w:r w:rsidRPr="00CF2323">
        <w:t xml:space="preserve">BUNDESGESUNDHEITSMINISTERIUM. o.J. </w:t>
      </w:r>
      <w:r w:rsidRPr="00CF2323">
        <w:rPr>
          <w:i/>
        </w:rPr>
        <w:t xml:space="preserve">Rauchen </w:t>
      </w:r>
      <w:r w:rsidRPr="00CF2323">
        <w:t xml:space="preserve">[Online]. Available: </w:t>
      </w:r>
      <w:r w:rsidRPr="00C85902">
        <w:t>https://www.bundesgesundheitsministerium.de/service/begriffe-von-a-z/r/rauchen.html</w:t>
      </w:r>
      <w:r w:rsidRPr="00CF2323">
        <w:t xml:space="preserve"> [Accessed 10.04.2022 2022].</w:t>
      </w:r>
    </w:p>
    <w:p w14:paraId="768CBE3F" w14:textId="77777777" w:rsidR="00C85902" w:rsidRPr="00CF2323" w:rsidRDefault="00C85902" w:rsidP="00CF2323">
      <w:pPr>
        <w:pStyle w:val="EndNoteBibliography"/>
        <w:spacing w:after="0"/>
        <w:ind w:left="720" w:hanging="720"/>
      </w:pPr>
      <w:r w:rsidRPr="00CF2323">
        <w:t xml:space="preserve">BURGER, M., OOSTERLINCK, W., KONETY, B., CHANG, S., GUDJONSSON, S., PRUTHI, R., SOLOWAY, M., SOLSONA, E., SVED, P., BABJUK, M., BRAUSI, M. A., CHENG, C., COMPERAT, E., DINNEY, C., OTTO, W., SHAH, J., THÜROF, J. &amp; WITJES, J. A. 2013. ICUD-EAU International Consultation on Bladder Cancer 2012: Non–Muscle-Invasive Urothelial Carcinoma of the Bladder. </w:t>
      </w:r>
      <w:r w:rsidRPr="00CF2323">
        <w:rPr>
          <w:i/>
        </w:rPr>
        <w:t>European Urology,</w:t>
      </w:r>
      <w:r w:rsidRPr="00CF2323">
        <w:t xml:space="preserve"> 63</w:t>
      </w:r>
      <w:r w:rsidRPr="00CF2323">
        <w:rPr>
          <w:b/>
        </w:rPr>
        <w:t>,</w:t>
      </w:r>
      <w:r w:rsidRPr="00CF2323">
        <w:t xml:space="preserve"> 36-44.</w:t>
      </w:r>
    </w:p>
    <w:p w14:paraId="106B6256" w14:textId="77777777" w:rsidR="00C85902" w:rsidRPr="00CF2323" w:rsidRDefault="00C85902" w:rsidP="00CF2323">
      <w:pPr>
        <w:pStyle w:val="EndNoteBibliography"/>
        <w:spacing w:after="0"/>
        <w:ind w:left="720" w:hanging="720"/>
      </w:pPr>
      <w:r w:rsidRPr="00CF2323">
        <w:t xml:space="preserve">CHAPOVAL, A. I., NI, J., LAU, J. S., WILCOX, R. A., FLIES, D. B., LIU, D., DONG, H., SICA, G. L., ZHU, G., TAMADA, K. &amp; CHEN, L. 2001. B7-H3: A costimulatory molecule for T cell activation and IFN-γ production. </w:t>
      </w:r>
      <w:r w:rsidRPr="00CF2323">
        <w:rPr>
          <w:i/>
        </w:rPr>
        <w:t>Nature Immunology,</w:t>
      </w:r>
      <w:r w:rsidRPr="00CF2323">
        <w:t xml:space="preserve"> 2</w:t>
      </w:r>
      <w:r w:rsidRPr="00CF2323">
        <w:rPr>
          <w:b/>
        </w:rPr>
        <w:t>,</w:t>
      </w:r>
      <w:r w:rsidRPr="00CF2323">
        <w:t xml:space="preserve"> 269-274.</w:t>
      </w:r>
    </w:p>
    <w:p w14:paraId="02A84301" w14:textId="77777777" w:rsidR="00C85902" w:rsidRPr="00CF2323" w:rsidRDefault="00C85902" w:rsidP="00CF2323">
      <w:pPr>
        <w:pStyle w:val="EndNoteBibliography"/>
        <w:spacing w:after="0"/>
        <w:ind w:left="720" w:hanging="720"/>
      </w:pPr>
      <w:r w:rsidRPr="00CF2323">
        <w:t xml:space="preserve">CHATURVEDI, A. K., ENGELS, E. A., GILBERT, E. S., CHEN, B. E., STORM, H., LYNCH, C. F., HALL, P., LANGMARK, F., PUKKALA, E., KAIJSER, M., ANDERSSON, M., FOSSÅ, S. D., JOENSUU, H., BOICE, J. D., KLEINERMAN, R. A. &amp; TRAVIS, L. B. 2007. Second Cancers Among 104760 Survivors of Cervical Cancer: Evaluation of Long-Term Risk. </w:t>
      </w:r>
      <w:r w:rsidRPr="00CF2323">
        <w:rPr>
          <w:i/>
        </w:rPr>
        <w:t>JNCI: Journal of the National Cancer Institute,</w:t>
      </w:r>
      <w:r w:rsidRPr="00CF2323">
        <w:t xml:space="preserve"> 99</w:t>
      </w:r>
      <w:r w:rsidRPr="00CF2323">
        <w:rPr>
          <w:b/>
        </w:rPr>
        <w:t>,</w:t>
      </w:r>
      <w:r w:rsidRPr="00CF2323">
        <w:t xml:space="preserve"> 1634-1643.</w:t>
      </w:r>
    </w:p>
    <w:p w14:paraId="0C1F34F7" w14:textId="77777777" w:rsidR="00C85902" w:rsidRPr="00CF2323" w:rsidRDefault="00C85902" w:rsidP="00CF2323">
      <w:pPr>
        <w:pStyle w:val="EndNoteBibliography"/>
        <w:spacing w:after="0"/>
        <w:ind w:left="720" w:hanging="720"/>
      </w:pPr>
      <w:r w:rsidRPr="00CF2323">
        <w:t xml:space="preserve">CHEN, R. C., SHIPLEY, W. U., EFSTATHIOU, J. A. &amp; ZIETMAN, A. L. 2013. Trimodality bladder preservation therapy for muscle-invasive bladder cancer. </w:t>
      </w:r>
      <w:r w:rsidRPr="00CF2323">
        <w:rPr>
          <w:i/>
        </w:rPr>
        <w:t>Journal of the National Comprehensive Cancer Network,</w:t>
      </w:r>
      <w:r w:rsidRPr="00CF2323">
        <w:t xml:space="preserve"> 11</w:t>
      </w:r>
      <w:r w:rsidRPr="00CF2323">
        <w:rPr>
          <w:b/>
        </w:rPr>
        <w:t>,</w:t>
      </w:r>
      <w:r w:rsidRPr="00CF2323">
        <w:t xml:space="preserve"> 952-960.</w:t>
      </w:r>
    </w:p>
    <w:p w14:paraId="243F92AB" w14:textId="77777777" w:rsidR="00C85902" w:rsidRPr="00CF2323" w:rsidRDefault="00C85902" w:rsidP="00CF2323">
      <w:pPr>
        <w:pStyle w:val="EndNoteBibliography"/>
        <w:spacing w:after="0"/>
        <w:ind w:left="720" w:hanging="720"/>
      </w:pPr>
      <w:r w:rsidRPr="00BB55EF">
        <w:rPr>
          <w:lang w:val="de-DE"/>
        </w:rPr>
        <w:t xml:space="preserve">CLAUDE, J. C., FRENTZEL-BEYME, R. R. &amp; KUNZE, E. 1988. </w:t>
      </w:r>
      <w:r w:rsidRPr="00CF2323">
        <w:t xml:space="preserve">Occupation and risk of cancer of the lower urinary tract among men. A case-control study. </w:t>
      </w:r>
      <w:r w:rsidRPr="00CF2323">
        <w:rPr>
          <w:i/>
        </w:rPr>
        <w:t>Int J Cancer,</w:t>
      </w:r>
      <w:r w:rsidRPr="00CF2323">
        <w:t xml:space="preserve"> 41</w:t>
      </w:r>
      <w:r w:rsidRPr="00CF2323">
        <w:rPr>
          <w:b/>
        </w:rPr>
        <w:t>,</w:t>
      </w:r>
      <w:r w:rsidRPr="00CF2323">
        <w:t xml:space="preserve"> 371-9.</w:t>
      </w:r>
    </w:p>
    <w:p w14:paraId="35EA77AA" w14:textId="77777777" w:rsidR="00C85902" w:rsidRPr="00CF2323" w:rsidRDefault="00C85902" w:rsidP="00CF2323">
      <w:pPr>
        <w:pStyle w:val="EndNoteBibliography"/>
        <w:spacing w:after="0"/>
        <w:ind w:left="720" w:hanging="720"/>
      </w:pPr>
      <w:r w:rsidRPr="00CF2323">
        <w:t xml:space="preserve">CLAUSEN, H. F., FEDDER, J., DRASBEK, M., NIELSEN, P. K., TOFT, B., INGERSLEV, H. J., BIRKELUND, S. &amp; CHRISTIANSEN, G. 2001. Serological investigation of Mycoplasma genitalium in infertile women. </w:t>
      </w:r>
      <w:r w:rsidRPr="00CF2323">
        <w:rPr>
          <w:i/>
        </w:rPr>
        <w:t>Human Reproduction,</w:t>
      </w:r>
      <w:r w:rsidRPr="00CF2323">
        <w:t xml:space="preserve"> 16</w:t>
      </w:r>
      <w:r w:rsidRPr="00CF2323">
        <w:rPr>
          <w:b/>
        </w:rPr>
        <w:t>,</w:t>
      </w:r>
      <w:r w:rsidRPr="00CF2323">
        <w:t xml:space="preserve"> 1866-1874.</w:t>
      </w:r>
    </w:p>
    <w:p w14:paraId="7EFD7F45" w14:textId="77777777" w:rsidR="00C85902" w:rsidRPr="00CF2323" w:rsidRDefault="00C85902" w:rsidP="00CF2323">
      <w:pPr>
        <w:pStyle w:val="EndNoteBibliography"/>
        <w:spacing w:after="0"/>
        <w:ind w:left="720" w:hanging="720"/>
      </w:pPr>
      <w:r w:rsidRPr="00CF2323">
        <w:t xml:space="preserve">COLLINS, M., LING, V. &amp; CARRENO, B. M. 2005. The B7 family of immune-regulatory ligands. </w:t>
      </w:r>
      <w:r w:rsidRPr="00CF2323">
        <w:rPr>
          <w:i/>
        </w:rPr>
        <w:t>Genome biology,</w:t>
      </w:r>
      <w:r w:rsidRPr="00CF2323">
        <w:t xml:space="preserve"> 6</w:t>
      </w:r>
      <w:r w:rsidRPr="00CF2323">
        <w:rPr>
          <w:b/>
        </w:rPr>
        <w:t>,</w:t>
      </w:r>
      <w:r w:rsidRPr="00CF2323">
        <w:t xml:space="preserve"> 1-7.</w:t>
      </w:r>
    </w:p>
    <w:p w14:paraId="5E087FBD" w14:textId="77777777" w:rsidR="00C85902" w:rsidRPr="00CF2323" w:rsidRDefault="00C85902" w:rsidP="00CF2323">
      <w:pPr>
        <w:pStyle w:val="EndNoteBibliography"/>
        <w:spacing w:after="0"/>
        <w:ind w:left="720" w:hanging="720"/>
      </w:pPr>
      <w:r w:rsidRPr="00CF2323">
        <w:t xml:space="preserve">COX, C. E., CASS, A. S. &amp; BOYCE, W. H. 1969. Bladder Cancer: A 26-Year Review. </w:t>
      </w:r>
      <w:r w:rsidRPr="00CF2323">
        <w:rPr>
          <w:i/>
        </w:rPr>
        <w:t>Journal of Urology,</w:t>
      </w:r>
      <w:r w:rsidRPr="00CF2323">
        <w:t xml:space="preserve"> 101</w:t>
      </w:r>
      <w:r w:rsidRPr="00CF2323">
        <w:rPr>
          <w:b/>
        </w:rPr>
        <w:t>,</w:t>
      </w:r>
      <w:r w:rsidRPr="00CF2323">
        <w:t xml:space="preserve"> 550-558.</w:t>
      </w:r>
    </w:p>
    <w:p w14:paraId="0719514D" w14:textId="77777777" w:rsidR="00C85902" w:rsidRPr="00CF2323" w:rsidRDefault="00C85902" w:rsidP="00CF2323">
      <w:pPr>
        <w:pStyle w:val="EndNoteBibliography"/>
        <w:spacing w:after="0"/>
        <w:ind w:left="720" w:hanging="720"/>
      </w:pPr>
      <w:r w:rsidRPr="00CF2323">
        <w:t xml:space="preserve">CRISPEN, P. L., SHEININ, Y., ROTH, T. J., LOHSE, C. M., KUNTZ, S. M., FRIGOLA, X., THOMPSON, R. H., BOORJIAN, S. A., DONG, H. &amp; LEIBOVICH, B. C. 2008. Tumor cell and tumor vasculature expression of B7-H3 predict survival in clear cell renal cell carcinoma. </w:t>
      </w:r>
      <w:r w:rsidRPr="00CF2323">
        <w:rPr>
          <w:i/>
        </w:rPr>
        <w:t>Clinical cancer research,</w:t>
      </w:r>
      <w:r w:rsidRPr="00CF2323">
        <w:t xml:space="preserve"> 14</w:t>
      </w:r>
      <w:r w:rsidRPr="00CF2323">
        <w:rPr>
          <w:b/>
        </w:rPr>
        <w:t>,</w:t>
      </w:r>
      <w:r w:rsidRPr="00CF2323">
        <w:t xml:space="preserve"> 5150-5157.</w:t>
      </w:r>
    </w:p>
    <w:p w14:paraId="7150B011" w14:textId="77777777" w:rsidR="00C85902" w:rsidRPr="00CF2323" w:rsidRDefault="00C85902" w:rsidP="00CF2323">
      <w:pPr>
        <w:pStyle w:val="EndNoteBibliography"/>
        <w:spacing w:after="0"/>
        <w:ind w:left="720" w:hanging="720"/>
      </w:pPr>
      <w:r w:rsidRPr="00CF2323">
        <w:t xml:space="preserve">DONG, H., ZHU, G., TAMADA, K. &amp; CHEN, L. 1999. B7-H1, a third member of the B7 family, co-stimulates T-cell proliferation and interleukin-10 secretion. </w:t>
      </w:r>
      <w:r w:rsidRPr="00CF2323">
        <w:rPr>
          <w:i/>
        </w:rPr>
        <w:t>Nature Medicine,</w:t>
      </w:r>
      <w:r w:rsidRPr="00CF2323">
        <w:t xml:space="preserve"> 5</w:t>
      </w:r>
      <w:r w:rsidRPr="00CF2323">
        <w:rPr>
          <w:b/>
        </w:rPr>
        <w:t>,</w:t>
      </w:r>
      <w:r w:rsidRPr="00CF2323">
        <w:t xml:space="preserve"> 1365-1369.</w:t>
      </w:r>
    </w:p>
    <w:p w14:paraId="3F7F65C0" w14:textId="77777777" w:rsidR="00C85902" w:rsidRPr="00CF2323" w:rsidRDefault="00C85902" w:rsidP="00CF2323">
      <w:pPr>
        <w:pStyle w:val="EndNoteBibliography"/>
        <w:spacing w:after="0"/>
        <w:ind w:left="720" w:hanging="720"/>
      </w:pPr>
      <w:r w:rsidRPr="00CF2323">
        <w:t xml:space="preserve">DONG, P., XIONG, Y., YUE, J., HANLEY, S. J. B. &amp; WATARI, H. 2018. B7H3 As a Promoter of Metastasis and Promising Therapeutic Target. </w:t>
      </w:r>
      <w:r w:rsidRPr="00CF2323">
        <w:rPr>
          <w:i/>
        </w:rPr>
        <w:t>Frontiers in Oncology,</w:t>
      </w:r>
      <w:r w:rsidRPr="00CF2323">
        <w:t xml:space="preserve"> 8.</w:t>
      </w:r>
    </w:p>
    <w:p w14:paraId="156F4E0B" w14:textId="77777777" w:rsidR="00C85902" w:rsidRPr="00CF2323" w:rsidRDefault="00C85902" w:rsidP="00CF2323">
      <w:pPr>
        <w:pStyle w:val="EndNoteBibliography"/>
        <w:spacing w:after="0"/>
        <w:ind w:left="720" w:hanging="720"/>
      </w:pPr>
      <w:r w:rsidRPr="00CF2323">
        <w:t xml:space="preserve">DSMZ. o.J. </w:t>
      </w:r>
      <w:r w:rsidRPr="00CF2323">
        <w:rPr>
          <w:i/>
        </w:rPr>
        <w:t xml:space="preserve">Cal-29 ACC 515 </w:t>
      </w:r>
      <w:r w:rsidRPr="00CF2323">
        <w:t xml:space="preserve">[Online]. Available: </w:t>
      </w:r>
      <w:r w:rsidRPr="00C85902">
        <w:t>https://www.dsmz.de/collection/catalogue/details/culture/ACC-515</w:t>
      </w:r>
      <w:r w:rsidRPr="00CF2323">
        <w:t xml:space="preserve"> [Accessed 11.04.2022 2022].</w:t>
      </w:r>
    </w:p>
    <w:p w14:paraId="6A11C6EC" w14:textId="77777777" w:rsidR="00C85902" w:rsidRPr="00BB55EF" w:rsidRDefault="00C85902" w:rsidP="00CF2323">
      <w:pPr>
        <w:pStyle w:val="EndNoteBibliography"/>
        <w:spacing w:after="0"/>
        <w:ind w:left="720" w:hanging="720"/>
        <w:rPr>
          <w:lang w:val="de-DE"/>
        </w:rPr>
      </w:pPr>
      <w:r w:rsidRPr="00BB55EF">
        <w:rPr>
          <w:lang w:val="de-DE"/>
        </w:rPr>
        <w:t xml:space="preserve">DUMKE, R. &amp; JACOBS, E. 2020. Mykoplasmen und Ureaplasmen. </w:t>
      </w:r>
      <w:r w:rsidRPr="00BB55EF">
        <w:rPr>
          <w:i/>
          <w:lang w:val="de-DE"/>
        </w:rPr>
        <w:t>In:</w:t>
      </w:r>
      <w:r w:rsidRPr="00BB55EF">
        <w:rPr>
          <w:lang w:val="de-DE"/>
        </w:rPr>
        <w:t xml:space="preserve"> SUERBAUM, S., BURCHARD, G.-D., KAUFMANN, S. H. E. &amp; SCHULZ, T. F. (eds.) </w:t>
      </w:r>
      <w:r w:rsidRPr="00BB55EF">
        <w:rPr>
          <w:i/>
          <w:lang w:val="de-DE"/>
        </w:rPr>
        <w:t>Medizinische Mikrobiologie und Infektiologie.</w:t>
      </w:r>
      <w:r w:rsidRPr="00BB55EF">
        <w:rPr>
          <w:lang w:val="de-DE"/>
        </w:rPr>
        <w:t xml:space="preserve"> Berlin, Heidelberg: Springer Berlin Heidelberg.</w:t>
      </w:r>
    </w:p>
    <w:p w14:paraId="47093E26" w14:textId="77777777" w:rsidR="00C85902" w:rsidRPr="00BB55EF" w:rsidRDefault="00C85902" w:rsidP="00CF2323">
      <w:pPr>
        <w:pStyle w:val="EndNoteBibliography"/>
        <w:spacing w:after="0"/>
        <w:ind w:left="720" w:hanging="720"/>
        <w:rPr>
          <w:lang w:val="de-DE"/>
        </w:rPr>
      </w:pPr>
      <w:r w:rsidRPr="00BB55EF">
        <w:rPr>
          <w:lang w:val="de-DE"/>
        </w:rPr>
        <w:t xml:space="preserve">DUTTA, D. &amp; CLEVERS, H. 2017. </w:t>
      </w:r>
      <w:r w:rsidRPr="00CF2323">
        <w:t xml:space="preserve">Organoid culture systems to study host–pathogen interactions. </w:t>
      </w:r>
      <w:r w:rsidRPr="00BB55EF">
        <w:rPr>
          <w:i/>
          <w:lang w:val="de-DE"/>
        </w:rPr>
        <w:t>Current Opinion in Immunology,</w:t>
      </w:r>
      <w:r w:rsidRPr="00BB55EF">
        <w:rPr>
          <w:lang w:val="de-DE"/>
        </w:rPr>
        <w:t xml:space="preserve"> 48</w:t>
      </w:r>
      <w:r w:rsidRPr="00BB55EF">
        <w:rPr>
          <w:b/>
          <w:lang w:val="de-DE"/>
        </w:rPr>
        <w:t>,</w:t>
      </w:r>
      <w:r w:rsidRPr="00BB55EF">
        <w:rPr>
          <w:lang w:val="de-DE"/>
        </w:rPr>
        <w:t xml:space="preserve"> 15-22.</w:t>
      </w:r>
    </w:p>
    <w:p w14:paraId="48A21FA8" w14:textId="77777777" w:rsidR="00C85902" w:rsidRPr="00BB55EF" w:rsidRDefault="00C85902" w:rsidP="00CF2323">
      <w:pPr>
        <w:pStyle w:val="EndNoteBibliography"/>
        <w:spacing w:after="0"/>
        <w:ind w:left="720" w:hanging="720"/>
        <w:rPr>
          <w:lang w:val="de-DE"/>
        </w:rPr>
      </w:pPr>
      <w:r w:rsidRPr="00BB55EF">
        <w:rPr>
          <w:lang w:val="de-DE"/>
        </w:rPr>
        <w:t>ERDMANN, F., SPIX, C., KATALINIC, A., CHRIST, M., FOLKERTS, J., HANSMANN, J., KRANZHÖFER, K., KUNZ, B., MANEGOLD, K., PENZKOFER, A., TREML, K., VOLLMER, G., WEG-REMERS, S., BARNES, B., BUTTMANN-SCHWEIGER, N., DAHM, S., FIEBIG, J., FRANKE, M., GURUNG-SCHÖNFELD, I., HABERLAND, J., IMHOFF, M., KRAYWINKEL, K., STARKER, A., VON BERENBERG-GOSSLER, P. &amp; WIENECKE, A. 2021. Krebs in Deutschland für 2017/2018. Robert Koch-Institut.</w:t>
      </w:r>
    </w:p>
    <w:p w14:paraId="0EA5406F" w14:textId="77777777" w:rsidR="00C85902" w:rsidRPr="00CF2323" w:rsidRDefault="00C85902" w:rsidP="00CF2323">
      <w:pPr>
        <w:pStyle w:val="EndNoteBibliography"/>
        <w:spacing w:after="0"/>
        <w:ind w:left="720" w:hanging="720"/>
      </w:pPr>
      <w:r w:rsidRPr="00BB55EF">
        <w:rPr>
          <w:lang w:val="de-DE"/>
        </w:rPr>
        <w:t xml:space="preserve">ERTURHAN, S. M., BAYRAK, O., PEHLIVAN, S., OZGUL, H., SECKINER, I., SEVER, T. &amp; KARAKÖK, M. 2013. </w:t>
      </w:r>
      <w:r w:rsidRPr="00CF2323">
        <w:t xml:space="preserve">Can mycoplasma contribute to formation of prostate cancer? </w:t>
      </w:r>
      <w:r w:rsidRPr="00CF2323">
        <w:rPr>
          <w:i/>
        </w:rPr>
        <w:t>Int Urol Nephrol,</w:t>
      </w:r>
      <w:r w:rsidRPr="00CF2323">
        <w:t xml:space="preserve"> 45</w:t>
      </w:r>
      <w:r w:rsidRPr="00CF2323">
        <w:rPr>
          <w:b/>
        </w:rPr>
        <w:t>,</w:t>
      </w:r>
      <w:r w:rsidRPr="00CF2323">
        <w:t xml:space="preserve"> 33-8.</w:t>
      </w:r>
    </w:p>
    <w:p w14:paraId="74A591FA" w14:textId="77777777" w:rsidR="00C85902" w:rsidRPr="00CF2323" w:rsidRDefault="00C85902" w:rsidP="00CF2323">
      <w:pPr>
        <w:pStyle w:val="EndNoteBibliography"/>
        <w:spacing w:after="0"/>
        <w:ind w:left="720" w:hanging="720"/>
      </w:pPr>
      <w:r w:rsidRPr="00CF2323">
        <w:t xml:space="preserve">ESFAHANI, K., ROUDAIA, L., BUHLAIGA, N., DEL RINCON, S. V., PAPNEJA, N. &amp; MILLER, W. H. 2020. A Review of Cancer Immunotherapy: From the Past, to the Present, to the Future. </w:t>
      </w:r>
      <w:r w:rsidRPr="00CF2323">
        <w:rPr>
          <w:i/>
        </w:rPr>
        <w:t>Current Oncology,</w:t>
      </w:r>
      <w:r w:rsidRPr="00CF2323">
        <w:t xml:space="preserve"> 27</w:t>
      </w:r>
      <w:r w:rsidRPr="00CF2323">
        <w:rPr>
          <w:b/>
        </w:rPr>
        <w:t>,</w:t>
      </w:r>
      <w:r w:rsidRPr="00CF2323">
        <w:t xml:space="preserve"> 87-97.</w:t>
      </w:r>
    </w:p>
    <w:p w14:paraId="0EDE11BE" w14:textId="77777777" w:rsidR="00C85902" w:rsidRPr="00CF2323" w:rsidRDefault="00C85902" w:rsidP="00CF2323">
      <w:pPr>
        <w:pStyle w:val="EndNoteBibliography"/>
        <w:spacing w:after="0"/>
        <w:ind w:left="720" w:hanging="720"/>
      </w:pPr>
      <w:r w:rsidRPr="00CF2323">
        <w:t xml:space="preserve">FELSHER, D. W. 2004. Reversibility of oncogene-induced cancer. </w:t>
      </w:r>
      <w:r w:rsidRPr="00CF2323">
        <w:rPr>
          <w:i/>
        </w:rPr>
        <w:t>Current Opinion in Genetics &amp; Development,</w:t>
      </w:r>
      <w:r w:rsidRPr="00CF2323">
        <w:t xml:space="preserve"> 14</w:t>
      </w:r>
      <w:r w:rsidRPr="00CF2323">
        <w:rPr>
          <w:b/>
        </w:rPr>
        <w:t>,</w:t>
      </w:r>
      <w:r w:rsidRPr="00CF2323">
        <w:t xml:space="preserve"> 37-42.</w:t>
      </w:r>
    </w:p>
    <w:p w14:paraId="785B6B7B" w14:textId="77777777" w:rsidR="00C85902" w:rsidRPr="00CF2323" w:rsidRDefault="00C85902" w:rsidP="00CF2323">
      <w:pPr>
        <w:pStyle w:val="EndNoteBibliography"/>
        <w:spacing w:after="0"/>
        <w:ind w:left="720" w:hanging="720"/>
      </w:pPr>
      <w:r w:rsidRPr="00CF2323">
        <w:t xml:space="preserve">FENG, S. H., TSAI, S., RODRIGUEZ, J. &amp; LO, S. C. 1999. Mycoplasmal infections prevent apoptosis and induce malignant transformation of interleukin-3-dependent 32D hematopoietic cells. </w:t>
      </w:r>
      <w:r w:rsidRPr="00CF2323">
        <w:rPr>
          <w:i/>
        </w:rPr>
        <w:t>Molecular and cellular biology,</w:t>
      </w:r>
      <w:r w:rsidRPr="00CF2323">
        <w:t xml:space="preserve"> 19</w:t>
      </w:r>
      <w:r w:rsidRPr="00CF2323">
        <w:rPr>
          <w:b/>
        </w:rPr>
        <w:t>,</w:t>
      </w:r>
      <w:r w:rsidRPr="00CF2323">
        <w:t xml:space="preserve"> 7995-8002.</w:t>
      </w:r>
    </w:p>
    <w:p w14:paraId="66373622" w14:textId="77777777" w:rsidR="00C85902" w:rsidRPr="00CF2323" w:rsidRDefault="00C85902" w:rsidP="00CF2323">
      <w:pPr>
        <w:pStyle w:val="EndNoteBibliography"/>
        <w:spacing w:after="0"/>
        <w:ind w:left="720" w:hanging="720"/>
      </w:pPr>
      <w:r w:rsidRPr="00CF2323">
        <w:t xml:space="preserve">FLEM-KARLSEN, K., FODSTAD, Ø. &amp; NUNES-XAVIER, C. E. 2020. B7-H3 Immune Checkpoint Protein in Human Cancer. </w:t>
      </w:r>
      <w:r w:rsidRPr="00CF2323">
        <w:rPr>
          <w:i/>
        </w:rPr>
        <w:t>Current Medicinal Chemistry,</w:t>
      </w:r>
      <w:r w:rsidRPr="00CF2323">
        <w:t xml:space="preserve"> 27</w:t>
      </w:r>
      <w:r w:rsidRPr="00CF2323">
        <w:rPr>
          <w:b/>
        </w:rPr>
        <w:t>,</w:t>
      </w:r>
      <w:r w:rsidRPr="00CF2323">
        <w:t xml:space="preserve"> 4062-4086.</w:t>
      </w:r>
    </w:p>
    <w:p w14:paraId="6F249848" w14:textId="77777777" w:rsidR="00C85902" w:rsidRPr="00CF2323" w:rsidRDefault="00C85902" w:rsidP="00CF2323">
      <w:pPr>
        <w:pStyle w:val="EndNoteBibliography"/>
        <w:spacing w:after="0"/>
        <w:ind w:left="720" w:hanging="720"/>
      </w:pPr>
      <w:r w:rsidRPr="00CF2323">
        <w:t xml:space="preserve">FLEM-KARLSEN, K., TEKLE, C., ØYJORD, T., FLØRENES, V. A., MÆLANDSMO, G. M., FODSTAD, Ø. &amp; NUNES-XAVIER, C. E. 2019. p38 MAPK activation through B7-H3-mediated DUSP10 repression promotes chemoresistance. </w:t>
      </w:r>
      <w:r w:rsidRPr="00CF2323">
        <w:rPr>
          <w:i/>
        </w:rPr>
        <w:t>Scientific reports,</w:t>
      </w:r>
      <w:r w:rsidRPr="00CF2323">
        <w:t xml:space="preserve"> 9</w:t>
      </w:r>
      <w:r w:rsidRPr="00CF2323">
        <w:rPr>
          <w:b/>
        </w:rPr>
        <w:t>,</w:t>
      </w:r>
      <w:r w:rsidRPr="00CF2323">
        <w:t xml:space="preserve"> 1-9.</w:t>
      </w:r>
    </w:p>
    <w:p w14:paraId="69F2EB81" w14:textId="77777777" w:rsidR="00C85902" w:rsidRPr="00CF2323" w:rsidRDefault="00C85902" w:rsidP="00CF2323">
      <w:pPr>
        <w:pStyle w:val="EndNoteBibliography"/>
        <w:spacing w:after="0"/>
        <w:ind w:left="720" w:hanging="720"/>
      </w:pPr>
      <w:r w:rsidRPr="00F56657">
        <w:rPr>
          <w:lang w:val="en-GB"/>
        </w:rPr>
        <w:t>FLEM</w:t>
      </w:r>
      <w:r w:rsidRPr="00F56657">
        <w:rPr>
          <w:rFonts w:ascii="Cambria Math" w:hAnsi="Cambria Math" w:cs="Cambria Math"/>
          <w:lang w:val="en-GB"/>
        </w:rPr>
        <w:t>‐</w:t>
      </w:r>
      <w:r w:rsidRPr="00F56657">
        <w:rPr>
          <w:lang w:val="en-GB"/>
        </w:rPr>
        <w:t>KARLSEN, K., TEKLE, C., ANDERSSON, Y., FLATMARK, K., FODSTAD, Ø. &amp; NUNES</w:t>
      </w:r>
      <w:r w:rsidRPr="00F56657">
        <w:rPr>
          <w:rFonts w:ascii="Cambria Math" w:hAnsi="Cambria Math" w:cs="Cambria Math"/>
          <w:lang w:val="en-GB"/>
        </w:rPr>
        <w:t>‐</w:t>
      </w:r>
      <w:r w:rsidRPr="00F56657">
        <w:rPr>
          <w:lang w:val="en-GB"/>
        </w:rPr>
        <w:t xml:space="preserve">XAVIER, C. E. 2017. </w:t>
      </w:r>
      <w:r w:rsidRPr="00CF2323">
        <w:t>Immunoregulatory protein B7</w:t>
      </w:r>
      <w:r w:rsidRPr="00CF2323">
        <w:rPr>
          <w:rFonts w:ascii="Cambria Math" w:hAnsi="Cambria Math" w:cs="Cambria Math"/>
        </w:rPr>
        <w:t>‐</w:t>
      </w:r>
      <w:r w:rsidRPr="00CF2323">
        <w:t xml:space="preserve">H3 promotes growth and decreases sensitivity to therapy in metastatic melanoma cells. </w:t>
      </w:r>
      <w:r w:rsidRPr="00CF2323">
        <w:rPr>
          <w:i/>
        </w:rPr>
        <w:t>Pigment cell &amp; melanoma research,</w:t>
      </w:r>
      <w:r w:rsidRPr="00CF2323">
        <w:t xml:space="preserve"> 30</w:t>
      </w:r>
      <w:r w:rsidRPr="00CF2323">
        <w:rPr>
          <w:b/>
        </w:rPr>
        <w:t>,</w:t>
      </w:r>
      <w:r w:rsidRPr="00CF2323">
        <w:t xml:space="preserve"> 467-476.</w:t>
      </w:r>
    </w:p>
    <w:p w14:paraId="27419CB1" w14:textId="77777777" w:rsidR="00C85902" w:rsidRPr="00CF2323" w:rsidRDefault="00C85902" w:rsidP="00CF2323">
      <w:pPr>
        <w:pStyle w:val="EndNoteBibliography"/>
        <w:spacing w:after="0"/>
        <w:ind w:left="720" w:hanging="720"/>
      </w:pPr>
      <w:r w:rsidRPr="00CF2323">
        <w:t xml:space="preserve">FREEDMAN, B. S., BROOKS, C. R., LAM, A. Q., FU, H., MORIZANE, R., AGRAWAL, V., SAAD, A. F., LI, M. K., HUGHES, M. R. &amp; WERFF, R. V. 2015. Modelling kidney disease with CRISPR-mutant kidney organoids derived from human pluripotent epiblast spheroids. </w:t>
      </w:r>
      <w:r w:rsidRPr="00CF2323">
        <w:rPr>
          <w:i/>
        </w:rPr>
        <w:t>Nature communications,</w:t>
      </w:r>
      <w:r w:rsidRPr="00CF2323">
        <w:t xml:space="preserve"> 6</w:t>
      </w:r>
      <w:r w:rsidRPr="00CF2323">
        <w:rPr>
          <w:b/>
        </w:rPr>
        <w:t>,</w:t>
      </w:r>
      <w:r w:rsidRPr="00CF2323">
        <w:t xml:space="preserve"> 1-13.</w:t>
      </w:r>
    </w:p>
    <w:p w14:paraId="1B24EA33" w14:textId="77777777" w:rsidR="00C85902" w:rsidRPr="00CF2323" w:rsidRDefault="00C85902" w:rsidP="00CF2323">
      <w:pPr>
        <w:pStyle w:val="EndNoteBibliography"/>
        <w:spacing w:after="0"/>
        <w:ind w:left="720" w:hanging="720"/>
      </w:pPr>
      <w:r w:rsidRPr="00CF2323">
        <w:t xml:space="preserve">FROEHNER, M., BRAUSI, M. A., HERR, H. W., MUTO, G. &amp; STUDER, U. E. 2009. Complications Following Radical Cystectomy for Bladder Cancer in the Elderly. </w:t>
      </w:r>
      <w:r w:rsidRPr="00CF2323">
        <w:rPr>
          <w:i/>
        </w:rPr>
        <w:t>European Urology,</w:t>
      </w:r>
      <w:r w:rsidRPr="00CF2323">
        <w:t xml:space="preserve"> 56</w:t>
      </w:r>
      <w:r w:rsidRPr="00CF2323">
        <w:rPr>
          <w:b/>
        </w:rPr>
        <w:t>,</w:t>
      </w:r>
      <w:r w:rsidRPr="00CF2323">
        <w:t xml:space="preserve"> 443-454.</w:t>
      </w:r>
    </w:p>
    <w:p w14:paraId="72396D55" w14:textId="77777777" w:rsidR="00C85902" w:rsidRPr="00CF2323" w:rsidRDefault="00C85902" w:rsidP="00CF2323">
      <w:pPr>
        <w:pStyle w:val="EndNoteBibliography"/>
        <w:spacing w:after="0"/>
        <w:ind w:left="720" w:hanging="720"/>
      </w:pPr>
      <w:r w:rsidRPr="00CF2323">
        <w:t xml:space="preserve">GIVEN, R. W., PARSONS, J. T., MCCARLEY, D. &amp; WAJSMAN, Z. 1995. Bladder-sparing multimodality treatment of muscle-invasive bladder cancer: A five-year follow-up. </w:t>
      </w:r>
      <w:r w:rsidRPr="00CF2323">
        <w:rPr>
          <w:i/>
        </w:rPr>
        <w:t>Urology,</w:t>
      </w:r>
      <w:r w:rsidRPr="00CF2323">
        <w:t xml:space="preserve"> 46</w:t>
      </w:r>
      <w:r w:rsidRPr="00CF2323">
        <w:rPr>
          <w:b/>
        </w:rPr>
        <w:t>,</w:t>
      </w:r>
      <w:r w:rsidRPr="00CF2323">
        <w:t xml:space="preserve"> 499-505.</w:t>
      </w:r>
    </w:p>
    <w:p w14:paraId="202448AC" w14:textId="77777777" w:rsidR="00C85902" w:rsidRPr="00CF2323" w:rsidRDefault="00C85902" w:rsidP="00CF2323">
      <w:pPr>
        <w:pStyle w:val="EndNoteBibliography"/>
        <w:spacing w:after="0"/>
        <w:ind w:left="720" w:hanging="720"/>
      </w:pPr>
      <w:r w:rsidRPr="00CF2323">
        <w:t xml:space="preserve">GOFRIT, O. N., PODE, D., PIZOV, G., ZORN, K. C., KATZ, R., DUVDEVANI, M. &amp; SHAPIRO, A. 2009. The natural history of bladder carcinoma in situ after initial response to bacillus Calmette-Gúerin immunotherapy. </w:t>
      </w:r>
      <w:r w:rsidRPr="00CF2323">
        <w:rPr>
          <w:i/>
        </w:rPr>
        <w:t>Urologic Oncology: Seminars and Original Investigations,</w:t>
      </w:r>
      <w:r w:rsidRPr="00CF2323">
        <w:t xml:space="preserve"> 27</w:t>
      </w:r>
      <w:r w:rsidRPr="00CF2323">
        <w:rPr>
          <w:b/>
        </w:rPr>
        <w:t>,</w:t>
      </w:r>
      <w:r w:rsidRPr="00CF2323">
        <w:t xml:space="preserve"> 258-262.</w:t>
      </w:r>
    </w:p>
    <w:p w14:paraId="2B04AC74" w14:textId="77777777" w:rsidR="00C85902" w:rsidRPr="00CF2323" w:rsidRDefault="00C85902" w:rsidP="00CF2323">
      <w:pPr>
        <w:pStyle w:val="EndNoteBibliography"/>
        <w:spacing w:after="0"/>
        <w:ind w:left="720" w:hanging="720"/>
      </w:pPr>
      <w:r w:rsidRPr="00CF2323">
        <w:t xml:space="preserve">GONG, J., CHEHRAZI-RAFFLE, A., REDDI, S. &amp; SALGIA, R. 2018. Development of PD-1 and PD-L1 inhibitors as a form of cancer immunotherapy: a comprehensive review of registration trials and future considerations. </w:t>
      </w:r>
      <w:r w:rsidRPr="00CF2323">
        <w:rPr>
          <w:i/>
        </w:rPr>
        <w:t>Journal for immunotherapy of cancer,</w:t>
      </w:r>
      <w:r w:rsidRPr="00CF2323">
        <w:t xml:space="preserve"> 6</w:t>
      </w:r>
      <w:r w:rsidRPr="00CF2323">
        <w:rPr>
          <w:b/>
        </w:rPr>
        <w:t>,</w:t>
      </w:r>
      <w:r w:rsidRPr="00CF2323">
        <w:t xml:space="preserve"> 8-8.</w:t>
      </w:r>
    </w:p>
    <w:p w14:paraId="6D5899EE" w14:textId="77777777" w:rsidR="00C85902" w:rsidRPr="00CF2323" w:rsidRDefault="00C85902" w:rsidP="00CF2323">
      <w:pPr>
        <w:pStyle w:val="EndNoteBibliography"/>
        <w:spacing w:after="0"/>
        <w:ind w:left="720" w:hanging="720"/>
      </w:pPr>
      <w:r w:rsidRPr="00CF2323">
        <w:t xml:space="preserve">GONG, M., MENG, L., JIANG, B., ZHANG, J., YANG, H., WU, J. &amp; SHOU, C. 2008. p37 from Mycoplasma hyorhinis promotes cancer cell invasiveness and metastasis through activation of MMP-2 and followed by phosphorylation of EGFR. </w:t>
      </w:r>
      <w:r w:rsidRPr="00CF2323">
        <w:rPr>
          <w:i/>
        </w:rPr>
        <w:t>Molecular cancer therapeutics,</w:t>
      </w:r>
      <w:r w:rsidRPr="00CF2323">
        <w:t xml:space="preserve"> 7</w:t>
      </w:r>
      <w:r w:rsidRPr="00CF2323">
        <w:rPr>
          <w:b/>
        </w:rPr>
        <w:t>,</w:t>
      </w:r>
      <w:r w:rsidRPr="00CF2323">
        <w:t xml:space="preserve"> 530-537.</w:t>
      </w:r>
    </w:p>
    <w:p w14:paraId="7B163DB6" w14:textId="77777777" w:rsidR="00C85902" w:rsidRPr="00CF2323" w:rsidRDefault="00C85902" w:rsidP="00CF2323">
      <w:pPr>
        <w:pStyle w:val="EndNoteBibliography"/>
        <w:spacing w:after="0"/>
        <w:ind w:left="720" w:hanging="720"/>
      </w:pPr>
      <w:r w:rsidRPr="00CF2323">
        <w:t xml:space="preserve">GORE, J. L., LAI, J., SETODJI, C. M., LITWIN, M. S. &amp; SAIGAL, C. S. 2009. Mortality increases when radical cystectomy is delayed more than 12 weeks. </w:t>
      </w:r>
      <w:r w:rsidRPr="00CF2323">
        <w:rPr>
          <w:i/>
        </w:rPr>
        <w:t>Cancer,</w:t>
      </w:r>
      <w:r w:rsidRPr="00CF2323">
        <w:t xml:space="preserve"> 115</w:t>
      </w:r>
      <w:r w:rsidRPr="00CF2323">
        <w:rPr>
          <w:b/>
        </w:rPr>
        <w:t>,</w:t>
      </w:r>
      <w:r w:rsidRPr="00CF2323">
        <w:t xml:space="preserve"> 988-996.</w:t>
      </w:r>
    </w:p>
    <w:p w14:paraId="1F4A71DF" w14:textId="77777777" w:rsidR="00C85902" w:rsidRPr="00CF2323" w:rsidRDefault="00C85902" w:rsidP="00CF2323">
      <w:pPr>
        <w:pStyle w:val="EndNoteBibliography"/>
        <w:spacing w:after="0"/>
        <w:ind w:left="720" w:hanging="720"/>
      </w:pPr>
      <w:r w:rsidRPr="00CF2323">
        <w:t xml:space="preserve">GROSSMAN, H. B., NATALE, R. B., TANGEN, C. M., SPEIGHTS, V. O., VOGELZANG, N. J., TRUMP, D. L., WHITE, R. W. D., SAROSDY, M. F., WOOD, D. P., RAGHAVAN, D. &amp; CRAWFORD, E. D. 2003. Neoadjuvant Chemotherapy plus Cystectomy Compared with Cystectomy Alone for Locally Advanced Bladder Cancer. </w:t>
      </w:r>
      <w:r w:rsidRPr="00CF2323">
        <w:rPr>
          <w:i/>
        </w:rPr>
        <w:t>New England Journal of Medicine,</w:t>
      </w:r>
      <w:r w:rsidRPr="00CF2323">
        <w:t xml:space="preserve"> 349</w:t>
      </w:r>
      <w:r w:rsidRPr="00CF2323">
        <w:rPr>
          <w:b/>
        </w:rPr>
        <w:t>,</w:t>
      </w:r>
      <w:r w:rsidRPr="00CF2323">
        <w:t xml:space="preserve"> 859-866.</w:t>
      </w:r>
    </w:p>
    <w:p w14:paraId="05FF2A25" w14:textId="77777777" w:rsidR="00C85902" w:rsidRPr="00BB55EF" w:rsidRDefault="00C85902" w:rsidP="00CF2323">
      <w:pPr>
        <w:pStyle w:val="EndNoteBibliography"/>
        <w:spacing w:after="0"/>
        <w:ind w:left="720" w:hanging="720"/>
        <w:rPr>
          <w:lang w:val="de-DE"/>
        </w:rPr>
      </w:pPr>
      <w:r w:rsidRPr="00CF2323">
        <w:t xml:space="preserve">HAUTMANN, R. E., DE PETRICONI, R. C., PFEIFFER, C. &amp; VOLKMER, B. G. 2012. Radical Cystectomy for Urothelial Carcinoma of the Bladder Without Neoadjuvant or Adjuvant Therapy: Long-Term Results in 1100 Patients. </w:t>
      </w:r>
      <w:r w:rsidRPr="00BB55EF">
        <w:rPr>
          <w:i/>
          <w:lang w:val="de-DE"/>
        </w:rPr>
        <w:t>European Urology,</w:t>
      </w:r>
      <w:r w:rsidRPr="00BB55EF">
        <w:rPr>
          <w:lang w:val="de-DE"/>
        </w:rPr>
        <w:t xml:space="preserve"> 61</w:t>
      </w:r>
      <w:r w:rsidRPr="00BB55EF">
        <w:rPr>
          <w:b/>
          <w:lang w:val="de-DE"/>
        </w:rPr>
        <w:t>,</w:t>
      </w:r>
      <w:r w:rsidRPr="00BB55EF">
        <w:rPr>
          <w:lang w:val="de-DE"/>
        </w:rPr>
        <w:t xml:space="preserve"> 1039-1047.</w:t>
      </w:r>
    </w:p>
    <w:p w14:paraId="29006E69" w14:textId="77777777" w:rsidR="00C85902" w:rsidRPr="00CF2323" w:rsidRDefault="00C85902" w:rsidP="00CF2323">
      <w:pPr>
        <w:pStyle w:val="EndNoteBibliography"/>
        <w:spacing w:after="0"/>
        <w:ind w:left="720" w:hanging="720"/>
      </w:pPr>
      <w:r w:rsidRPr="00BB55EF">
        <w:rPr>
          <w:lang w:val="de-DE"/>
        </w:rPr>
        <w:t xml:space="preserve">HAUTMANN, R. E., GSCHWEND, J. E., DE PETRICONI, R. C., KRON, M. &amp; VOLKMER, B. G. 2006. </w:t>
      </w:r>
      <w:r w:rsidRPr="00CF2323">
        <w:t xml:space="preserve">Cystectomy for Transitional Cell Carcinoma of the Bladder: Results of a Surgery Only Series in the Neobladder Era. </w:t>
      </w:r>
      <w:r w:rsidRPr="00CF2323">
        <w:rPr>
          <w:i/>
        </w:rPr>
        <w:t>The Journal of Urology,</w:t>
      </w:r>
      <w:r w:rsidRPr="00CF2323">
        <w:t xml:space="preserve"> 176</w:t>
      </w:r>
      <w:r w:rsidRPr="00CF2323">
        <w:rPr>
          <w:b/>
        </w:rPr>
        <w:t>,</w:t>
      </w:r>
      <w:r w:rsidRPr="00CF2323">
        <w:t xml:space="preserve"> 486-492.</w:t>
      </w:r>
    </w:p>
    <w:p w14:paraId="109888FD" w14:textId="77777777" w:rsidR="00C85902" w:rsidRPr="00BB55EF" w:rsidRDefault="00C85902" w:rsidP="00CF2323">
      <w:pPr>
        <w:pStyle w:val="EndNoteBibliography"/>
        <w:spacing w:after="0"/>
        <w:ind w:left="720" w:hanging="720"/>
        <w:rPr>
          <w:lang w:val="de-DE"/>
        </w:rPr>
      </w:pPr>
      <w:r w:rsidRPr="00CF2323">
        <w:t xml:space="preserve">HERBST, R. S., SORIA, J.-C., KOWANETZ, M., FINE, G. D., HAMID, O., GORDON, M. S., SOSMAN, J. A., MCDERMOTT, D. F., POWDERLY, J. D., GETTINGER, S. N., KOHRT, H. E. K., HORN, L., LAWRENCE, D. P., ROST, S., LEABMAN, M., XIAO, Y., MOKATRIN, A., KOEPPEN, H., HEGDE, P. S., MELLMAN, I., CHEN, D. S. &amp; HODI, F. S. 2014. Predictive correlates of response to the anti-PD-L1 antibody MPDL3280A in cancer patients. </w:t>
      </w:r>
      <w:r w:rsidRPr="00BB55EF">
        <w:rPr>
          <w:i/>
          <w:lang w:val="de-DE"/>
        </w:rPr>
        <w:t>Nature,</w:t>
      </w:r>
      <w:r w:rsidRPr="00BB55EF">
        <w:rPr>
          <w:lang w:val="de-DE"/>
        </w:rPr>
        <w:t xml:space="preserve"> 515</w:t>
      </w:r>
      <w:r w:rsidRPr="00BB55EF">
        <w:rPr>
          <w:b/>
          <w:lang w:val="de-DE"/>
        </w:rPr>
        <w:t>,</w:t>
      </w:r>
      <w:r w:rsidRPr="00BB55EF">
        <w:rPr>
          <w:lang w:val="de-DE"/>
        </w:rPr>
        <w:t xml:space="preserve"> 563-567.</w:t>
      </w:r>
    </w:p>
    <w:p w14:paraId="46CC1964" w14:textId="77777777" w:rsidR="00C85902" w:rsidRPr="00CF2323" w:rsidRDefault="00C85902" w:rsidP="00CF2323">
      <w:pPr>
        <w:pStyle w:val="EndNoteBibliography"/>
        <w:spacing w:after="0"/>
        <w:ind w:left="720" w:hanging="720"/>
      </w:pPr>
      <w:r w:rsidRPr="00BB55EF">
        <w:rPr>
          <w:lang w:val="de-DE"/>
        </w:rPr>
        <w:t xml:space="preserve">HUANG, G. J., KIM, P. H., SKINNER, D. G. &amp; STEIN, J. P. 2009. </w:t>
      </w:r>
      <w:r w:rsidRPr="00CF2323">
        <w:t xml:space="preserve">Outcomes of patients with clinical CIS-only disease treated with radical cystectomy. </w:t>
      </w:r>
      <w:r w:rsidRPr="00CF2323">
        <w:rPr>
          <w:i/>
        </w:rPr>
        <w:t>World Journal of Urology,</w:t>
      </w:r>
      <w:r w:rsidRPr="00CF2323">
        <w:t xml:space="preserve"> 27</w:t>
      </w:r>
      <w:r w:rsidRPr="00CF2323">
        <w:rPr>
          <w:b/>
        </w:rPr>
        <w:t>,</w:t>
      </w:r>
      <w:r w:rsidRPr="00CF2323">
        <w:t xml:space="preserve"> 21-25.</w:t>
      </w:r>
    </w:p>
    <w:p w14:paraId="1EF6F61C" w14:textId="77777777" w:rsidR="00C85902" w:rsidRPr="00CF2323" w:rsidRDefault="00C85902" w:rsidP="00CF2323">
      <w:pPr>
        <w:pStyle w:val="EndNoteBibliography"/>
        <w:spacing w:after="0"/>
        <w:ind w:left="720" w:hanging="720"/>
      </w:pPr>
      <w:r w:rsidRPr="00CF2323">
        <w:t xml:space="preserve">INAMURA, K., AMORI, G., YUASA, T., YAMAMOTO, S., YONESE, J. &amp; ISHIKAWA, Y. 2019. Relationship of B7-H3 expression in tumor cells and tumor vasculature with FOXP3+ regulatory T cells in renal cell carcinoma. </w:t>
      </w:r>
      <w:r w:rsidRPr="00CF2323">
        <w:rPr>
          <w:i/>
        </w:rPr>
        <w:t>Cancer Management and Research,</w:t>
      </w:r>
      <w:r w:rsidRPr="00CF2323">
        <w:t xml:space="preserve"> 11</w:t>
      </w:r>
      <w:r w:rsidRPr="00CF2323">
        <w:rPr>
          <w:b/>
        </w:rPr>
        <w:t>,</w:t>
      </w:r>
      <w:r w:rsidRPr="00CF2323">
        <w:t xml:space="preserve"> 7021.</w:t>
      </w:r>
    </w:p>
    <w:p w14:paraId="034C4F6A" w14:textId="77777777" w:rsidR="00C85902" w:rsidRPr="00CF2323" w:rsidRDefault="00C85902" w:rsidP="00CF2323">
      <w:pPr>
        <w:pStyle w:val="EndNoteBibliography"/>
        <w:spacing w:after="0"/>
        <w:ind w:left="720" w:hanging="720"/>
      </w:pPr>
      <w:r w:rsidRPr="00F56657">
        <w:rPr>
          <w:lang w:val="en-GB"/>
        </w:rPr>
        <w:t xml:space="preserve">INGEBRIGTSEN, V. A., BOYE, K., TEKLE, C., NESLAND, J. M., FLATMARK, K. &amp; FODSTAD, Ø. 2012. </w:t>
      </w:r>
      <w:r w:rsidRPr="00CF2323">
        <w:t xml:space="preserve">B7-H3 expression in colorectal cancer: Nuclear localization strongly predicts poor outcome in colon cancer. </w:t>
      </w:r>
      <w:r w:rsidRPr="00CF2323">
        <w:rPr>
          <w:i/>
        </w:rPr>
        <w:t>International Journal of Cancer,</w:t>
      </w:r>
      <w:r w:rsidRPr="00CF2323">
        <w:t xml:space="preserve"> 131</w:t>
      </w:r>
      <w:r w:rsidRPr="00CF2323">
        <w:rPr>
          <w:b/>
        </w:rPr>
        <w:t>,</w:t>
      </w:r>
      <w:r w:rsidRPr="00CF2323">
        <w:t xml:space="preserve"> 2528-2536.</w:t>
      </w:r>
    </w:p>
    <w:p w14:paraId="218F54AD" w14:textId="77777777" w:rsidR="00C85902" w:rsidRPr="00CF2323" w:rsidRDefault="00C85902" w:rsidP="00CF2323">
      <w:pPr>
        <w:pStyle w:val="EndNoteBibliography"/>
        <w:spacing w:after="0"/>
        <w:ind w:left="720" w:hanging="720"/>
      </w:pPr>
      <w:r w:rsidRPr="00CF2323">
        <w:t xml:space="preserve">INTERNATIONAL AGENCY FOR RESEARCH ON CANCER (IARC) WORKING GROUP 2004. Tobacco smoke and involuntary smoking. </w:t>
      </w:r>
      <w:r w:rsidRPr="00CF2323">
        <w:rPr>
          <w:i/>
        </w:rPr>
        <w:t>IARC Monogr Eval Carcinog Risks Hum,</w:t>
      </w:r>
      <w:r w:rsidRPr="00CF2323">
        <w:t xml:space="preserve"> 83</w:t>
      </w:r>
      <w:r w:rsidRPr="00CF2323">
        <w:rPr>
          <w:b/>
        </w:rPr>
        <w:t>,</w:t>
      </w:r>
      <w:r w:rsidRPr="00CF2323">
        <w:t xml:space="preserve"> 1-1438.</w:t>
      </w:r>
    </w:p>
    <w:p w14:paraId="12B0290D" w14:textId="77777777" w:rsidR="00C85902" w:rsidRPr="00CF2323" w:rsidRDefault="00C85902" w:rsidP="00CF2323">
      <w:pPr>
        <w:pStyle w:val="EndNoteBibliography"/>
        <w:spacing w:after="0"/>
        <w:ind w:left="720" w:hanging="720"/>
      </w:pPr>
      <w:r w:rsidRPr="00CF2323">
        <w:t xml:space="preserve">JACKSON, S. E. &amp; CHESTER, J. D. 2015. Personalised cancer medicine. </w:t>
      </w:r>
      <w:r w:rsidRPr="00CF2323">
        <w:rPr>
          <w:i/>
        </w:rPr>
        <w:t>International Journal of Cancer,</w:t>
      </w:r>
      <w:r w:rsidRPr="00CF2323">
        <w:t xml:space="preserve"> 137</w:t>
      </w:r>
      <w:r w:rsidRPr="00CF2323">
        <w:rPr>
          <w:b/>
        </w:rPr>
        <w:t>,</w:t>
      </w:r>
      <w:r w:rsidRPr="00CF2323">
        <w:t xml:space="preserve"> 262-266.</w:t>
      </w:r>
    </w:p>
    <w:p w14:paraId="0B2384AF" w14:textId="77777777" w:rsidR="00C85902" w:rsidRPr="00CF2323" w:rsidRDefault="00C85902" w:rsidP="00CF2323">
      <w:pPr>
        <w:pStyle w:val="EndNoteBibliography"/>
        <w:spacing w:after="0"/>
        <w:ind w:left="720" w:hanging="720"/>
      </w:pPr>
      <w:r w:rsidRPr="00BB55EF">
        <w:rPr>
          <w:lang w:val="de-DE"/>
        </w:rPr>
        <w:t xml:space="preserve">JENSEN, J. S., BJÖRNELIUS, E. V. A., DOHN, B. &amp; LIDBRINK, P. 2004. </w:t>
      </w:r>
      <w:r w:rsidRPr="00CF2323">
        <w:t xml:space="preserve">Comparison of First Void Urine and Urogenital Swab Specimens for Detection of Mycoplasma genitalium and Chlamydia trachomatis by Polymerase Chain Reaction in Patients Attending a Sexually Transmitted Disease Clinic. </w:t>
      </w:r>
      <w:r w:rsidRPr="00CF2323">
        <w:rPr>
          <w:i/>
        </w:rPr>
        <w:t>Sexually Transmitted Diseases,</w:t>
      </w:r>
      <w:r w:rsidRPr="00CF2323">
        <w:t xml:space="preserve"> 31</w:t>
      </w:r>
      <w:r w:rsidRPr="00CF2323">
        <w:rPr>
          <w:b/>
        </w:rPr>
        <w:t>,</w:t>
      </w:r>
      <w:r w:rsidRPr="00CF2323">
        <w:t xml:space="preserve"> 499-507.</w:t>
      </w:r>
    </w:p>
    <w:p w14:paraId="6CA5E073" w14:textId="77777777" w:rsidR="00C85902" w:rsidRPr="00CF2323" w:rsidRDefault="00C85902" w:rsidP="00CF2323">
      <w:pPr>
        <w:pStyle w:val="EndNoteBibliography"/>
        <w:spacing w:after="0"/>
        <w:ind w:left="720" w:hanging="720"/>
      </w:pPr>
      <w:r w:rsidRPr="00CF2323">
        <w:t xml:space="preserve">JENSEN, J. S., CUSINI, M., GOMBERG, M. &amp; MOI, H. 2016. 2016 European guideline on Mycoplasma genitalium infections. </w:t>
      </w:r>
      <w:r w:rsidRPr="00CF2323">
        <w:rPr>
          <w:i/>
        </w:rPr>
        <w:t>J Eur Acad Dermatol Venereol,</w:t>
      </w:r>
      <w:r w:rsidRPr="00CF2323">
        <w:t xml:space="preserve"> 30</w:t>
      </w:r>
      <w:r w:rsidRPr="00CF2323">
        <w:rPr>
          <w:b/>
        </w:rPr>
        <w:t>,</w:t>
      </w:r>
      <w:r w:rsidRPr="00CF2323">
        <w:t xml:space="preserve"> 1650-1656.</w:t>
      </w:r>
    </w:p>
    <w:p w14:paraId="32A0826E" w14:textId="77777777" w:rsidR="00C85902" w:rsidRPr="00CF2323" w:rsidRDefault="00C85902" w:rsidP="00CF2323">
      <w:pPr>
        <w:pStyle w:val="EndNoteBibliography"/>
        <w:spacing w:after="0"/>
        <w:ind w:left="720" w:hanging="720"/>
      </w:pPr>
      <w:r w:rsidRPr="00CF2323">
        <w:t xml:space="preserve">JI, Y., KARBASCHI, M. &amp; COOKE, M. S. 2019. Mycoplasma infection of cultured cells induces oxidative stress and attenuates cellular base excision repair activity. </w:t>
      </w:r>
      <w:r w:rsidRPr="00CF2323">
        <w:rPr>
          <w:i/>
        </w:rPr>
        <w:t>Mutation Research/Genetic Toxicology and Environmental Mutagenesis,</w:t>
      </w:r>
      <w:r w:rsidRPr="00CF2323">
        <w:t xml:space="preserve"> 845</w:t>
      </w:r>
      <w:r w:rsidRPr="00CF2323">
        <w:rPr>
          <w:b/>
        </w:rPr>
        <w:t>,</w:t>
      </w:r>
      <w:r w:rsidRPr="00CF2323">
        <w:t xml:space="preserve"> 403054.</w:t>
      </w:r>
    </w:p>
    <w:p w14:paraId="52B88A1B" w14:textId="77777777" w:rsidR="00C85902" w:rsidRPr="00BB55EF" w:rsidRDefault="00C85902" w:rsidP="00CF2323">
      <w:pPr>
        <w:pStyle w:val="EndNoteBibliography"/>
        <w:spacing w:after="0"/>
        <w:ind w:left="720" w:hanging="720"/>
        <w:rPr>
          <w:lang w:val="de-DE"/>
        </w:rPr>
      </w:pPr>
      <w:r w:rsidRPr="00CF2323">
        <w:t xml:space="preserve">JOCHAM, D., STEPP, H. &amp; WAIDELICH, R. 2008. Photodynamic Diagnosis in Urology: State-of-the-Art. </w:t>
      </w:r>
      <w:r w:rsidRPr="00BB55EF">
        <w:rPr>
          <w:i/>
          <w:lang w:val="de-DE"/>
        </w:rPr>
        <w:t>European Urology,</w:t>
      </w:r>
      <w:r w:rsidRPr="00BB55EF">
        <w:rPr>
          <w:lang w:val="de-DE"/>
        </w:rPr>
        <w:t xml:space="preserve"> 53</w:t>
      </w:r>
      <w:r w:rsidRPr="00BB55EF">
        <w:rPr>
          <w:b/>
          <w:lang w:val="de-DE"/>
        </w:rPr>
        <w:t>,</w:t>
      </w:r>
      <w:r w:rsidRPr="00BB55EF">
        <w:rPr>
          <w:lang w:val="de-DE"/>
        </w:rPr>
        <w:t xml:space="preserve"> 1138-1150.</w:t>
      </w:r>
    </w:p>
    <w:p w14:paraId="0C9706FA" w14:textId="77777777" w:rsidR="00C85902" w:rsidRPr="00CF2323" w:rsidRDefault="00C85902" w:rsidP="00CF2323">
      <w:pPr>
        <w:pStyle w:val="EndNoteBibliography"/>
        <w:spacing w:after="0"/>
        <w:ind w:left="720" w:hanging="720"/>
      </w:pPr>
      <w:r w:rsidRPr="00BB55EF">
        <w:rPr>
          <w:lang w:val="de-DE"/>
        </w:rPr>
        <w:t xml:space="preserve">KASTEN, B. B., AREND, R. C., KATRE, A. A., KIM, H., FAN, J., FERRONE, S., ZINN, K. R. &amp; BUCHSBAUM, D. J. 2017. </w:t>
      </w:r>
      <w:r w:rsidRPr="00CF2323">
        <w:t xml:space="preserve">B7-H3-targeted 212Pb radioimmunotherapy of ovarian cancer in preclinical models. </w:t>
      </w:r>
      <w:r w:rsidRPr="00CF2323">
        <w:rPr>
          <w:i/>
        </w:rPr>
        <w:t>Nuclear medicine and biology,</w:t>
      </w:r>
      <w:r w:rsidRPr="00CF2323">
        <w:t xml:space="preserve"> 47</w:t>
      </w:r>
      <w:r w:rsidRPr="00CF2323">
        <w:rPr>
          <w:b/>
        </w:rPr>
        <w:t>,</w:t>
      </w:r>
      <w:r w:rsidRPr="00CF2323">
        <w:t xml:space="preserve"> 23-30.</w:t>
      </w:r>
    </w:p>
    <w:p w14:paraId="18F35E25" w14:textId="77777777" w:rsidR="00C85902" w:rsidRPr="00CF2323" w:rsidRDefault="00C85902" w:rsidP="00CF2323">
      <w:pPr>
        <w:pStyle w:val="EndNoteBibliography"/>
        <w:spacing w:after="0"/>
        <w:ind w:left="720" w:hanging="720"/>
      </w:pPr>
      <w:r w:rsidRPr="00CF2323">
        <w:t xml:space="preserve">KJAER, S., KNUDSEN, J., SØRENSEN, B. &amp; JENSEN, O. M. 1989. The Copenhagen case-control study of bladder cancer V. Review of the role of urinary-tract infection. </w:t>
      </w:r>
      <w:r w:rsidRPr="00CF2323">
        <w:rPr>
          <w:i/>
        </w:rPr>
        <w:t>Acta Oncologica,</w:t>
      </w:r>
      <w:r w:rsidRPr="00CF2323">
        <w:t xml:space="preserve"> 28</w:t>
      </w:r>
      <w:r w:rsidRPr="00CF2323">
        <w:rPr>
          <w:b/>
        </w:rPr>
        <w:t>,</w:t>
      </w:r>
      <w:r w:rsidRPr="00CF2323">
        <w:t xml:space="preserve"> 631-636.</w:t>
      </w:r>
    </w:p>
    <w:p w14:paraId="4B6F6332" w14:textId="77777777" w:rsidR="00C85902" w:rsidRPr="00CF2323" w:rsidRDefault="00C85902" w:rsidP="00CF2323">
      <w:pPr>
        <w:pStyle w:val="EndNoteBibliography"/>
        <w:spacing w:after="0"/>
        <w:ind w:left="720" w:hanging="720"/>
      </w:pPr>
      <w:r w:rsidRPr="00CF2323">
        <w:t xml:space="preserve">KLÄN, R., LOY, V. &amp; HULAND, H. 1991. Residual Tumor Discovered in Routine Second Transurethral Resection in Patients with Stage T1 Transitional Cell Carcinoma of the Bladder. </w:t>
      </w:r>
      <w:r w:rsidRPr="00CF2323">
        <w:rPr>
          <w:i/>
        </w:rPr>
        <w:t>The Journal of Urology,</w:t>
      </w:r>
      <w:r w:rsidRPr="00CF2323">
        <w:t xml:space="preserve"> 146</w:t>
      </w:r>
      <w:r w:rsidRPr="00CF2323">
        <w:rPr>
          <w:b/>
        </w:rPr>
        <w:t>,</w:t>
      </w:r>
      <w:r w:rsidRPr="00CF2323">
        <w:t xml:space="preserve"> 316-318.</w:t>
      </w:r>
    </w:p>
    <w:p w14:paraId="0B3D4005" w14:textId="77777777" w:rsidR="00C85902" w:rsidRPr="00CF2323" w:rsidRDefault="00C85902" w:rsidP="00CF2323">
      <w:pPr>
        <w:pStyle w:val="EndNoteBibliography"/>
        <w:spacing w:after="0"/>
        <w:ind w:left="720" w:hanging="720"/>
      </w:pPr>
      <w:r w:rsidRPr="00CF2323">
        <w:t xml:space="preserve">KONISHI, J., YAMAZAKI, K., AZUMA, M., KINOSHITA, I., DOSAKA-AKITA, H. &amp; NISHIMURA, M. 2004. B7-H1 expression on non-small cell lung cancer cells and its relationship with tumor-infiltrating lymphocytes and their PD-1 expression. </w:t>
      </w:r>
      <w:r w:rsidRPr="00CF2323">
        <w:rPr>
          <w:i/>
        </w:rPr>
        <w:t>Clinical cancer research,</w:t>
      </w:r>
      <w:r w:rsidRPr="00CF2323">
        <w:t xml:space="preserve"> 10</w:t>
      </w:r>
      <w:r w:rsidRPr="00CF2323">
        <w:rPr>
          <w:b/>
        </w:rPr>
        <w:t>,</w:t>
      </w:r>
      <w:r w:rsidRPr="00CF2323">
        <w:t xml:space="preserve"> 5094-5100.</w:t>
      </w:r>
    </w:p>
    <w:p w14:paraId="47CDC4E6" w14:textId="77777777" w:rsidR="00C85902" w:rsidRPr="00CF2323" w:rsidRDefault="00C85902" w:rsidP="00CF2323">
      <w:pPr>
        <w:pStyle w:val="EndNoteBibliography"/>
        <w:spacing w:after="0"/>
        <w:ind w:left="720" w:hanging="720"/>
      </w:pPr>
      <w:r w:rsidRPr="00CF2323">
        <w:t xml:space="preserve">KRAAN, J., VAN DEN BROEK, P., VERHOEF, C., GRUNHAGEN, D. J., TAAL, W., GRATAMA, J.-W. &amp; SLEIJFER, S. 2014. Endothelial CD276 (B7-H3) expression is increased in human malignancies and distinguishes between normal and tumour-derived circulating endothelial cells. </w:t>
      </w:r>
      <w:r w:rsidRPr="00CF2323">
        <w:rPr>
          <w:i/>
        </w:rPr>
        <w:t>British journal of cancer,</w:t>
      </w:r>
      <w:r w:rsidRPr="00CF2323">
        <w:t xml:space="preserve"> 111</w:t>
      </w:r>
      <w:r w:rsidRPr="00CF2323">
        <w:rPr>
          <w:b/>
        </w:rPr>
        <w:t>,</w:t>
      </w:r>
      <w:r w:rsidRPr="00CF2323">
        <w:t xml:space="preserve"> 149-156.</w:t>
      </w:r>
    </w:p>
    <w:p w14:paraId="3C079787" w14:textId="77777777" w:rsidR="00C85902" w:rsidRPr="00CF2323" w:rsidRDefault="00C85902" w:rsidP="00CF2323">
      <w:pPr>
        <w:pStyle w:val="EndNoteBibliography"/>
        <w:spacing w:after="0"/>
        <w:ind w:left="720" w:hanging="720"/>
      </w:pPr>
      <w:r w:rsidRPr="00F56657">
        <w:rPr>
          <w:lang w:val="en-GB"/>
        </w:rPr>
        <w:t xml:space="preserve">KULKARNI, G. S., URBACH, D. R., AUSTIN, P. C., FLESHNER, N. E. &amp; LAUPACIS, A. 2009. </w:t>
      </w:r>
      <w:r w:rsidRPr="00CF2323">
        <w:t xml:space="preserve">Longer Wait Times Increase Overall Mortality in Patients With Bladder Cancer. </w:t>
      </w:r>
      <w:r w:rsidRPr="00CF2323">
        <w:rPr>
          <w:i/>
        </w:rPr>
        <w:t>Journal of Urology,</w:t>
      </w:r>
      <w:r w:rsidRPr="00CF2323">
        <w:t xml:space="preserve"> 182</w:t>
      </w:r>
      <w:r w:rsidRPr="00CF2323">
        <w:rPr>
          <w:b/>
        </w:rPr>
        <w:t>,</w:t>
      </w:r>
      <w:r w:rsidRPr="00CF2323">
        <w:t xml:space="preserve"> 1318-1324.</w:t>
      </w:r>
    </w:p>
    <w:p w14:paraId="0A4CE612" w14:textId="77777777" w:rsidR="00C85902" w:rsidRPr="00CF2323" w:rsidRDefault="00C85902" w:rsidP="00CF2323">
      <w:pPr>
        <w:pStyle w:val="EndNoteBibliography"/>
        <w:spacing w:after="0"/>
        <w:ind w:left="720" w:hanging="720"/>
      </w:pPr>
      <w:r w:rsidRPr="00CF2323">
        <w:t xml:space="preserve">KUNATH, F., KRAUSE, S. F., WULLICH, B., GOEBELL, P. J., ENGEHAUSEN, D. G., BURGER, M., MEERPOHL, J. J. &amp; KECK, B. 2013. Bladder cancer--the neglected tumor: a descriptive analysis of publications referenced in MEDLINE and data from the register ClinicalTrials.gov. </w:t>
      </w:r>
      <w:r w:rsidRPr="00CF2323">
        <w:rPr>
          <w:i/>
        </w:rPr>
        <w:t>BMC urology,</w:t>
      </w:r>
      <w:r w:rsidRPr="00CF2323">
        <w:t xml:space="preserve"> 13</w:t>
      </w:r>
      <w:r w:rsidRPr="00CF2323">
        <w:rPr>
          <w:b/>
        </w:rPr>
        <w:t>,</w:t>
      </w:r>
      <w:r w:rsidRPr="00CF2323">
        <w:t xml:space="preserve"> 56-56.</w:t>
      </w:r>
    </w:p>
    <w:p w14:paraId="4322F3B7" w14:textId="77777777" w:rsidR="00C85902" w:rsidRPr="00CF2323" w:rsidRDefault="00C85902" w:rsidP="00CF2323">
      <w:pPr>
        <w:pStyle w:val="EndNoteBibliography"/>
        <w:spacing w:after="0"/>
        <w:ind w:left="720" w:hanging="720"/>
      </w:pPr>
      <w:r w:rsidRPr="00BB55EF">
        <w:rPr>
          <w:lang w:val="de-DE"/>
        </w:rPr>
        <w:t>KUNZE, E., CHANG</w:t>
      </w:r>
      <w:r w:rsidRPr="00BB55EF">
        <w:rPr>
          <w:rFonts w:ascii="Cambria Math" w:hAnsi="Cambria Math" w:cs="Cambria Math"/>
          <w:lang w:val="de-DE"/>
        </w:rPr>
        <w:t>‐</w:t>
      </w:r>
      <w:r w:rsidRPr="00BB55EF">
        <w:rPr>
          <w:lang w:val="de-DE"/>
        </w:rPr>
        <w:t>CLAUDE, J. &amp; FRENTZEL</w:t>
      </w:r>
      <w:r w:rsidRPr="00BB55EF">
        <w:rPr>
          <w:rFonts w:ascii="Cambria Math" w:hAnsi="Cambria Math" w:cs="Cambria Math"/>
          <w:lang w:val="de-DE"/>
        </w:rPr>
        <w:t>‐</w:t>
      </w:r>
      <w:r w:rsidRPr="00BB55EF">
        <w:rPr>
          <w:lang w:val="de-DE"/>
        </w:rPr>
        <w:t xml:space="preserve">BEYRNE, R. 1992. </w:t>
      </w:r>
      <w:r w:rsidRPr="00CF2323">
        <w:t>Life style and occupational risk factors for bladder cancer in Germany. A case</w:t>
      </w:r>
      <w:r w:rsidRPr="00CF2323">
        <w:rPr>
          <w:rFonts w:ascii="Cambria Math" w:hAnsi="Cambria Math" w:cs="Cambria Math"/>
        </w:rPr>
        <w:t>‐</w:t>
      </w:r>
      <w:r w:rsidRPr="00CF2323">
        <w:t xml:space="preserve">control study. </w:t>
      </w:r>
      <w:r w:rsidRPr="00CF2323">
        <w:rPr>
          <w:i/>
        </w:rPr>
        <w:t>Cancer,</w:t>
      </w:r>
      <w:r w:rsidRPr="00CF2323">
        <w:t xml:space="preserve"> 69</w:t>
      </w:r>
      <w:r w:rsidRPr="00CF2323">
        <w:rPr>
          <w:b/>
        </w:rPr>
        <w:t>,</w:t>
      </w:r>
      <w:r w:rsidRPr="00CF2323">
        <w:t xml:space="preserve"> 1776-1790.</w:t>
      </w:r>
    </w:p>
    <w:p w14:paraId="2EEC8FA5" w14:textId="77777777" w:rsidR="00C85902" w:rsidRPr="00BB55EF" w:rsidRDefault="00C85902" w:rsidP="00CF2323">
      <w:pPr>
        <w:pStyle w:val="EndNoteBibliography"/>
        <w:spacing w:after="0"/>
        <w:ind w:left="720" w:hanging="720"/>
        <w:rPr>
          <w:lang w:val="de-DE"/>
        </w:rPr>
      </w:pPr>
      <w:r w:rsidRPr="00F56657">
        <w:rPr>
          <w:lang w:val="en-GB"/>
        </w:rPr>
        <w:t xml:space="preserve">LAZICA, D., BÖTTCHER, S., DEGENER, S., VON RUNDSTEDT, F.-C., BRANDT, A., ROTH, S., STÖRKEL, S. &amp; MATHERS, M. 2013. </w:t>
      </w:r>
      <w:r w:rsidRPr="00BB55EF">
        <w:rPr>
          <w:lang w:val="de-DE"/>
        </w:rPr>
        <w:t xml:space="preserve">T1 high grade-Blasentumor–Wertigkeit der Nachresektion mit prognostischen Parametern der Initialresektion: Analyse von 167 Fällen. </w:t>
      </w:r>
      <w:r w:rsidRPr="00BB55EF">
        <w:rPr>
          <w:i/>
          <w:lang w:val="de-DE"/>
        </w:rPr>
        <w:t>Aktuelle Urologie,</w:t>
      </w:r>
      <w:r w:rsidRPr="00BB55EF">
        <w:rPr>
          <w:lang w:val="de-DE"/>
        </w:rPr>
        <w:t xml:space="preserve"> 44</w:t>
      </w:r>
      <w:r w:rsidRPr="00BB55EF">
        <w:rPr>
          <w:b/>
          <w:lang w:val="de-DE"/>
        </w:rPr>
        <w:t>,</w:t>
      </w:r>
      <w:r w:rsidRPr="00BB55EF">
        <w:rPr>
          <w:lang w:val="de-DE"/>
        </w:rPr>
        <w:t xml:space="preserve"> 124-128.</w:t>
      </w:r>
    </w:p>
    <w:p w14:paraId="444F7074" w14:textId="77777777" w:rsidR="00C85902" w:rsidRPr="00CF2323" w:rsidRDefault="00C85902" w:rsidP="00CF2323">
      <w:pPr>
        <w:pStyle w:val="EndNoteBibliography"/>
        <w:spacing w:after="0"/>
        <w:ind w:left="720" w:hanging="720"/>
      </w:pPr>
      <w:r w:rsidRPr="00BB55EF">
        <w:rPr>
          <w:lang w:val="de-DE"/>
        </w:rPr>
        <w:t xml:space="preserve">LEITLINIENPROGRAMM ONKOLOGIE, DEUTSCHE KREBSGESELLSCHAFT, DEUTSCHE KREBSHILFE &amp; AWMF. 2020. </w:t>
      </w:r>
      <w:r w:rsidRPr="00BB55EF">
        <w:rPr>
          <w:i/>
          <w:lang w:val="de-DE"/>
        </w:rPr>
        <w:t xml:space="preserve">S3-Leitlinie Früherkennung, Diagnose, Therapie und Nachsorge des Harnblasenkarzinoms </w:t>
      </w:r>
      <w:r w:rsidRPr="00BB55EF">
        <w:rPr>
          <w:lang w:val="de-DE"/>
        </w:rPr>
        <w:t xml:space="preserve">[Online]. </w:t>
      </w:r>
      <w:r w:rsidRPr="00CF2323">
        <w:t xml:space="preserve">Available: </w:t>
      </w:r>
      <w:r w:rsidRPr="00C85902">
        <w:t>https://www.leitlinienprogramm-onkologie.de/leitlinien/harnblasenkarzinom/</w:t>
      </w:r>
      <w:r w:rsidRPr="00CF2323">
        <w:t xml:space="preserve"> [Accessed 19.04.2022].</w:t>
      </w:r>
    </w:p>
    <w:p w14:paraId="3699DEDE" w14:textId="77777777" w:rsidR="00C85902" w:rsidRPr="00CF2323" w:rsidRDefault="00C85902" w:rsidP="00CF2323">
      <w:pPr>
        <w:pStyle w:val="EndNoteBibliography"/>
        <w:spacing w:after="0"/>
        <w:ind w:left="720" w:hanging="720"/>
      </w:pPr>
      <w:r w:rsidRPr="00CF2323">
        <w:t xml:space="preserve">LI, K., LIN, T., FAN, X., XU, K., BI, L., DUAN, Y., ZHOU, Y., YU, M., LI, J. &amp; HUANG, J. 2013. Systematic review and meta-analysis of comparative studies reporting early outcomes after robot-assisted radical cystectomy versus open radical cystectomy. </w:t>
      </w:r>
      <w:r w:rsidRPr="00CF2323">
        <w:rPr>
          <w:i/>
        </w:rPr>
        <w:t>Cancer Treatment Reviews,</w:t>
      </w:r>
      <w:r w:rsidRPr="00CF2323">
        <w:t xml:space="preserve"> 39</w:t>
      </w:r>
      <w:r w:rsidRPr="00CF2323">
        <w:rPr>
          <w:b/>
        </w:rPr>
        <w:t>,</w:t>
      </w:r>
      <w:r w:rsidRPr="00CF2323">
        <w:t xml:space="preserve"> 551-560.</w:t>
      </w:r>
    </w:p>
    <w:p w14:paraId="4807C47D" w14:textId="77777777" w:rsidR="00C85902" w:rsidRPr="00CF2323" w:rsidRDefault="00C85902" w:rsidP="00CF2323">
      <w:pPr>
        <w:pStyle w:val="EndNoteBibliography"/>
        <w:spacing w:after="0"/>
        <w:ind w:left="720" w:hanging="720"/>
      </w:pPr>
      <w:r w:rsidRPr="00CF2323">
        <w:t xml:space="preserve">LI, Z., LIU, J., QUE, L. &amp; TANG, X. 2019. The immunoregulatory protein B7-H3 promotes aerobic glycolysis in oral squamous carcinoma via PI3K/Akt/mTOR pathway. </w:t>
      </w:r>
      <w:r w:rsidRPr="00CF2323">
        <w:rPr>
          <w:i/>
        </w:rPr>
        <w:t>Journal of Cancer,</w:t>
      </w:r>
      <w:r w:rsidRPr="00CF2323">
        <w:t xml:space="preserve"> 10</w:t>
      </w:r>
      <w:r w:rsidRPr="00CF2323">
        <w:rPr>
          <w:b/>
        </w:rPr>
        <w:t>,</w:t>
      </w:r>
      <w:r w:rsidRPr="00CF2323">
        <w:t xml:space="preserve"> 5770.</w:t>
      </w:r>
    </w:p>
    <w:p w14:paraId="6D09C114" w14:textId="77777777" w:rsidR="00C85902" w:rsidRPr="00BB55EF" w:rsidRDefault="00C85902" w:rsidP="00CF2323">
      <w:pPr>
        <w:pStyle w:val="EndNoteBibliography"/>
        <w:spacing w:after="0"/>
        <w:ind w:left="720" w:hanging="720"/>
        <w:rPr>
          <w:lang w:val="de-DE"/>
        </w:rPr>
      </w:pPr>
      <w:r w:rsidRPr="00F56657">
        <w:rPr>
          <w:lang w:val="en-GB"/>
        </w:rPr>
        <w:t xml:space="preserve">LIM, S., LIU, H., DA SILVA, L. M., ARORA, R., LIU, Z., PHILLIPS, J. B., SCHMITT, D. C., VU, T., MCCLELLAN, S. &amp; LIN, Y. 2016. </w:t>
      </w:r>
      <w:r w:rsidRPr="00CF2323">
        <w:t xml:space="preserve">Immunoregulatory Protein B7-H3 Reprograms Glucose Metabolism in Cancer Cells by ROS-Mediated Stabilization of HIF1αB7-H3 Regulates Glucose Metabolism in Cancer Cells. </w:t>
      </w:r>
      <w:r w:rsidRPr="00BB55EF">
        <w:rPr>
          <w:i/>
          <w:lang w:val="de-DE"/>
        </w:rPr>
        <w:t>Cancer research,</w:t>
      </w:r>
      <w:r w:rsidRPr="00BB55EF">
        <w:rPr>
          <w:lang w:val="de-DE"/>
        </w:rPr>
        <w:t xml:space="preserve"> 76</w:t>
      </w:r>
      <w:r w:rsidRPr="00BB55EF">
        <w:rPr>
          <w:b/>
          <w:lang w:val="de-DE"/>
        </w:rPr>
        <w:t>,</w:t>
      </w:r>
      <w:r w:rsidRPr="00BB55EF">
        <w:rPr>
          <w:lang w:val="de-DE"/>
        </w:rPr>
        <w:t xml:space="preserve"> 2231-2242.</w:t>
      </w:r>
    </w:p>
    <w:p w14:paraId="2A411C05" w14:textId="77777777" w:rsidR="00C85902" w:rsidRPr="00CF2323" w:rsidRDefault="00C85902" w:rsidP="00CF2323">
      <w:pPr>
        <w:pStyle w:val="EndNoteBibliography"/>
        <w:spacing w:after="0"/>
        <w:ind w:left="720" w:hanging="720"/>
      </w:pPr>
      <w:r w:rsidRPr="00BB55EF">
        <w:rPr>
          <w:lang w:val="de-DE"/>
        </w:rPr>
        <w:t xml:space="preserve">LIU, S., LIANG, J., LIU, Z., ZHANG, C., WANG, Y., WATSON, A. H., ZHOU, C., ZHANG, F., WU, K., ZHANG, F., LU, Y. &amp; WANG, X. 2021. </w:t>
      </w:r>
      <w:r w:rsidRPr="00CF2323">
        <w:t xml:space="preserve">The Role of CD276 in Cancers. </w:t>
      </w:r>
      <w:r w:rsidRPr="00CF2323">
        <w:rPr>
          <w:i/>
        </w:rPr>
        <w:t>Frontiers in Oncology,</w:t>
      </w:r>
      <w:r w:rsidRPr="00CF2323">
        <w:t xml:space="preserve"> 11.</w:t>
      </w:r>
    </w:p>
    <w:p w14:paraId="1EDCBA1E" w14:textId="77777777" w:rsidR="00C85902" w:rsidRPr="00CF2323" w:rsidRDefault="00C85902" w:rsidP="00CF2323">
      <w:pPr>
        <w:pStyle w:val="EndNoteBibliography"/>
        <w:spacing w:after="0"/>
        <w:ind w:left="720" w:hanging="720"/>
      </w:pPr>
      <w:r w:rsidRPr="00CF2323">
        <w:t xml:space="preserve">LIU, W. &amp; SHOU, C. 2011. Mycoplasma hyorhinis and Mycoplasma fermentans induce cell apoptosis and changes in gene expression profiles of 32D cells. </w:t>
      </w:r>
      <w:r w:rsidRPr="00CF2323">
        <w:rPr>
          <w:i/>
        </w:rPr>
        <w:t>Biological Research,</w:t>
      </w:r>
      <w:r w:rsidRPr="00CF2323">
        <w:t xml:space="preserve"> 44</w:t>
      </w:r>
      <w:r w:rsidRPr="00CF2323">
        <w:rPr>
          <w:b/>
        </w:rPr>
        <w:t>,</w:t>
      </w:r>
      <w:r w:rsidRPr="00CF2323">
        <w:t xml:space="preserve"> 383-391.</w:t>
      </w:r>
    </w:p>
    <w:p w14:paraId="14DCE39F" w14:textId="77777777" w:rsidR="00C85902" w:rsidRPr="00CF2323" w:rsidRDefault="00C85902" w:rsidP="00CF2323">
      <w:pPr>
        <w:pStyle w:val="EndNoteBibliography"/>
        <w:spacing w:after="0"/>
        <w:ind w:left="720" w:hanging="720"/>
      </w:pPr>
      <w:r w:rsidRPr="00CF2323">
        <w:t xml:space="preserve">LIU, X., RONG, Z. &amp; SHOU, C. 2019a. Mycoplasma hyorhinis infection promotes gastric cancer cell motility via β-catenin signaling. </w:t>
      </w:r>
      <w:r w:rsidRPr="00CF2323">
        <w:rPr>
          <w:i/>
        </w:rPr>
        <w:t>Cancer Med,</w:t>
      </w:r>
      <w:r w:rsidRPr="00CF2323">
        <w:t xml:space="preserve"> 8</w:t>
      </w:r>
      <w:r w:rsidRPr="00CF2323">
        <w:rPr>
          <w:b/>
        </w:rPr>
        <w:t>,</w:t>
      </w:r>
      <w:r w:rsidRPr="00CF2323">
        <w:t xml:space="preserve"> 5301-5312.</w:t>
      </w:r>
    </w:p>
    <w:p w14:paraId="7915129D" w14:textId="77777777" w:rsidR="00C85902" w:rsidRPr="00CF2323" w:rsidRDefault="00C85902" w:rsidP="00CF2323">
      <w:pPr>
        <w:pStyle w:val="EndNoteBibliography"/>
        <w:spacing w:after="0"/>
        <w:ind w:left="720" w:hanging="720"/>
      </w:pPr>
      <w:r w:rsidRPr="00CF2323">
        <w:t xml:space="preserve">LIU, Z., ZHANG, W., PHILLIPS, J. B., ARORA, R., MCCLELLAN, S., LI, J., KIM, J.-H., SOBOL, R. W. &amp; TAN, M. 2019b. Immunoregulatory protein B7-H3 regulates cancer stem cell enrichment and drug resistance through MVP-mediated MEK activation. </w:t>
      </w:r>
      <w:r w:rsidRPr="00CF2323">
        <w:rPr>
          <w:i/>
        </w:rPr>
        <w:t>Oncogene,</w:t>
      </w:r>
      <w:r w:rsidRPr="00CF2323">
        <w:t xml:space="preserve"> 38</w:t>
      </w:r>
      <w:r w:rsidRPr="00CF2323">
        <w:rPr>
          <w:b/>
        </w:rPr>
        <w:t>,</w:t>
      </w:r>
      <w:r w:rsidRPr="00CF2323">
        <w:t xml:space="preserve"> 88-102.</w:t>
      </w:r>
    </w:p>
    <w:p w14:paraId="387818A8" w14:textId="77777777" w:rsidR="00C85902" w:rsidRPr="00CF2323" w:rsidRDefault="00C85902" w:rsidP="00CF2323">
      <w:pPr>
        <w:pStyle w:val="EndNoteBibliography"/>
        <w:spacing w:after="0"/>
        <w:ind w:left="720" w:hanging="720"/>
      </w:pPr>
      <w:r w:rsidRPr="00CF2323">
        <w:t xml:space="preserve">LOBBAN, E. D., SMITH, B. A., HALL, G. D., HARNDEN, P., ROBERTS, P., SELBY, P. J., TREJDOSIEWICZ, L. K. &amp; SOUTHGATE, J. 1998. Uroplakin Gene Expression by Normal and Neoplastic Human Urothelium. </w:t>
      </w:r>
      <w:r w:rsidRPr="00CF2323">
        <w:rPr>
          <w:i/>
        </w:rPr>
        <w:t>The American Journal of Pathology,</w:t>
      </w:r>
      <w:r w:rsidRPr="00CF2323">
        <w:t xml:space="preserve"> 153</w:t>
      </w:r>
      <w:r w:rsidRPr="00CF2323">
        <w:rPr>
          <w:b/>
        </w:rPr>
        <w:t>,</w:t>
      </w:r>
      <w:r w:rsidRPr="00CF2323">
        <w:t xml:space="preserve"> 1957-1967.</w:t>
      </w:r>
    </w:p>
    <w:p w14:paraId="7256B62D" w14:textId="77777777" w:rsidR="00C85902" w:rsidRPr="00CF2323" w:rsidRDefault="00C85902" w:rsidP="00CF2323">
      <w:pPr>
        <w:pStyle w:val="EndNoteBibliography"/>
        <w:spacing w:after="0"/>
        <w:ind w:left="720" w:hanging="720"/>
      </w:pPr>
      <w:r w:rsidRPr="00CF2323">
        <w:t xml:space="preserve">LOGUNOV, D. Y., SCHEBLYAKOV, D. V., ZUBKOVA, O. V., SHMAROV, M. M., RAKOVSKAYA, I. V., GUROVA, K. V., TARAROVA, N. D., BURDELYA, L. G., NARODITSKY, B. S., GINZBURG, A. L. &amp; GUDKOV, A. V. 2008. Mycoplasma infection suppresses p53, activates NF-kappaB and cooperates with oncogenic Ras in rodent fibroblast transformation. </w:t>
      </w:r>
      <w:r w:rsidRPr="00CF2323">
        <w:rPr>
          <w:i/>
        </w:rPr>
        <w:t>Oncogene,</w:t>
      </w:r>
      <w:r w:rsidRPr="00CF2323">
        <w:t xml:space="preserve"> 27</w:t>
      </w:r>
      <w:r w:rsidRPr="00CF2323">
        <w:rPr>
          <w:b/>
        </w:rPr>
        <w:t>,</w:t>
      </w:r>
      <w:r w:rsidRPr="00CF2323">
        <w:t xml:space="preserve"> 4521-4531.</w:t>
      </w:r>
    </w:p>
    <w:p w14:paraId="0397D1B0" w14:textId="77777777" w:rsidR="00C85902" w:rsidRPr="00CF2323" w:rsidRDefault="00C85902" w:rsidP="00CF2323">
      <w:pPr>
        <w:pStyle w:val="EndNoteBibliography"/>
        <w:spacing w:after="0"/>
        <w:ind w:left="720" w:hanging="720"/>
      </w:pPr>
      <w:r w:rsidRPr="00CF2323">
        <w:t xml:space="preserve">LOO, D., ALDERSON, R. F., CHEN, F. Z., HUANG, L., ZHANG, W., GORLATOV, S., BURKE, S., CICCARONE, V., LI, H. &amp; YANG, Y. 2012. Development of an Fc-Enhanced Anti–B7-H3 Monoclonal Antibody with Potent Antitumor ActivityDevelopment of Fc-Enhanced Anti–B7-H3 Monoclonal Antibody. </w:t>
      </w:r>
      <w:r w:rsidRPr="00CF2323">
        <w:rPr>
          <w:i/>
        </w:rPr>
        <w:t>Clinical cancer research,</w:t>
      </w:r>
      <w:r w:rsidRPr="00CF2323">
        <w:t xml:space="preserve"> 18</w:t>
      </w:r>
      <w:r w:rsidRPr="00CF2323">
        <w:rPr>
          <w:b/>
        </w:rPr>
        <w:t>,</w:t>
      </w:r>
      <w:r w:rsidRPr="00CF2323">
        <w:t xml:space="preserve"> 3834-3845.</w:t>
      </w:r>
    </w:p>
    <w:p w14:paraId="725411CB" w14:textId="77777777" w:rsidR="00C85902" w:rsidRPr="00CF2323" w:rsidRDefault="00C85902" w:rsidP="00CF2323">
      <w:pPr>
        <w:pStyle w:val="EndNoteBibliography"/>
        <w:spacing w:after="0"/>
        <w:ind w:left="720" w:hanging="720"/>
      </w:pPr>
      <w:r w:rsidRPr="00F56657">
        <w:t xml:space="preserve">LOOS, M., GIESE, N. A., KLEEFF, J., GIESE, T., GAIDA, M. M., BERGMANN, F., LASCHINGER, M., W.BÜCHLER, M. &amp; FRIESS, H. 2008. </w:t>
      </w:r>
      <w:r w:rsidRPr="00CF2323">
        <w:t xml:space="preserve">Clinical significance and regulation of the costimulatory molecule B7-H1 in pancreatic cancer. </w:t>
      </w:r>
      <w:r w:rsidRPr="00CF2323">
        <w:rPr>
          <w:i/>
        </w:rPr>
        <w:t>Cancer Letters,</w:t>
      </w:r>
      <w:r w:rsidRPr="00CF2323">
        <w:t xml:space="preserve"> 268</w:t>
      </w:r>
      <w:r w:rsidRPr="00CF2323">
        <w:rPr>
          <w:b/>
        </w:rPr>
        <w:t>,</w:t>
      </w:r>
      <w:r w:rsidRPr="00CF2323">
        <w:t xml:space="preserve"> 98-109.</w:t>
      </w:r>
    </w:p>
    <w:p w14:paraId="1E3B962E" w14:textId="77777777" w:rsidR="00C85902" w:rsidRPr="00CF2323" w:rsidRDefault="00C85902" w:rsidP="00CF2323">
      <w:pPr>
        <w:pStyle w:val="EndNoteBibliography"/>
        <w:spacing w:after="0"/>
        <w:ind w:left="720" w:hanging="720"/>
      </w:pPr>
      <w:r w:rsidRPr="00F56657">
        <w:t xml:space="preserve">LOOS, M., HEDDERICH, D. M., OTTENHAUSEN, M., GIESE, N. A., LASCHINGER, M., ESPOSITO, I., KLEEFF, J. &amp; FRIESS, H. 2009. </w:t>
      </w:r>
      <w:r w:rsidRPr="00CF2323">
        <w:t xml:space="preserve">Expression of the costimulatory molecule B7-H3 is associated with prolonged survival in human pancreatic cancer. </w:t>
      </w:r>
      <w:r w:rsidRPr="00CF2323">
        <w:rPr>
          <w:i/>
        </w:rPr>
        <w:t>BMC cancer,</w:t>
      </w:r>
      <w:r w:rsidRPr="00CF2323">
        <w:t xml:space="preserve"> 9</w:t>
      </w:r>
      <w:r w:rsidRPr="00CF2323">
        <w:rPr>
          <w:b/>
        </w:rPr>
        <w:t>,</w:t>
      </w:r>
      <w:r w:rsidRPr="00CF2323">
        <w:t xml:space="preserve"> 1-10.</w:t>
      </w:r>
    </w:p>
    <w:p w14:paraId="6EFD18E2" w14:textId="77777777" w:rsidR="00C85902" w:rsidRPr="00CF2323" w:rsidRDefault="00C85902" w:rsidP="00CF2323">
      <w:pPr>
        <w:pStyle w:val="EndNoteBibliography"/>
        <w:spacing w:after="0"/>
        <w:ind w:left="720" w:hanging="720"/>
      </w:pPr>
      <w:r w:rsidRPr="00CF2323">
        <w:t xml:space="preserve">LOPEZ-BELTRAN, A. &amp; CHENG, L. 2006. Histologic variants of urothelial carcinoma: differential diagnosis and clinical implications. </w:t>
      </w:r>
      <w:r w:rsidRPr="00CF2323">
        <w:rPr>
          <w:i/>
        </w:rPr>
        <w:t>Human Pathology,</w:t>
      </w:r>
      <w:r w:rsidRPr="00CF2323">
        <w:t xml:space="preserve"> 37</w:t>
      </w:r>
      <w:r w:rsidRPr="00CF2323">
        <w:rPr>
          <w:b/>
        </w:rPr>
        <w:t>,</w:t>
      </w:r>
      <w:r w:rsidRPr="00CF2323">
        <w:t xml:space="preserve"> 1371-1388.</w:t>
      </w:r>
    </w:p>
    <w:p w14:paraId="7EB07C73" w14:textId="77777777" w:rsidR="00C85902" w:rsidRPr="00CF2323" w:rsidRDefault="00C85902" w:rsidP="00CF2323">
      <w:pPr>
        <w:pStyle w:val="EndNoteBibliography"/>
        <w:spacing w:after="0"/>
        <w:ind w:left="720" w:hanging="720"/>
      </w:pPr>
      <w:r w:rsidRPr="00CF2323">
        <w:t xml:space="preserve">LOTAN, Y. &amp; ROEHRBORN, C. G. 2003. Sensitivity and specificity of commonly available bladder tumor markers versus cytology: results of a comprehensive literature review and meta-analyses. </w:t>
      </w:r>
      <w:r w:rsidRPr="00CF2323">
        <w:rPr>
          <w:i/>
        </w:rPr>
        <w:t>Urology,</w:t>
      </w:r>
      <w:r w:rsidRPr="00CF2323">
        <w:t xml:space="preserve"> 61</w:t>
      </w:r>
      <w:r w:rsidRPr="00CF2323">
        <w:rPr>
          <w:b/>
        </w:rPr>
        <w:t>,</w:t>
      </w:r>
      <w:r w:rsidRPr="00CF2323">
        <w:t xml:space="preserve"> 109-118.</w:t>
      </w:r>
    </w:p>
    <w:p w14:paraId="53A34CC6" w14:textId="77777777" w:rsidR="00C85902" w:rsidRPr="00BB55EF" w:rsidRDefault="00C85902" w:rsidP="00CF2323">
      <w:pPr>
        <w:pStyle w:val="EndNoteBibliography"/>
        <w:spacing w:after="0"/>
        <w:ind w:left="720" w:hanging="720"/>
        <w:rPr>
          <w:lang w:val="de-DE"/>
        </w:rPr>
      </w:pPr>
      <w:r w:rsidRPr="00CF2323">
        <w:t xml:space="preserve">LUENGO-FERNANDEZ, R., LEAL, J., GRAY, A. &amp; SULLIVAN, R. 2013. Economic burden of cancer across the European Union: a population-based cost analysis. </w:t>
      </w:r>
      <w:r w:rsidRPr="00BB55EF">
        <w:rPr>
          <w:i/>
          <w:lang w:val="de-DE"/>
        </w:rPr>
        <w:t>The Lancet Oncology,</w:t>
      </w:r>
      <w:r w:rsidRPr="00BB55EF">
        <w:rPr>
          <w:lang w:val="de-DE"/>
        </w:rPr>
        <w:t xml:space="preserve"> 14</w:t>
      </w:r>
      <w:r w:rsidRPr="00BB55EF">
        <w:rPr>
          <w:b/>
          <w:lang w:val="de-DE"/>
        </w:rPr>
        <w:t>,</w:t>
      </w:r>
      <w:r w:rsidRPr="00BB55EF">
        <w:rPr>
          <w:lang w:val="de-DE"/>
        </w:rPr>
        <w:t xml:space="preserve"> 1165-1174.</w:t>
      </w:r>
    </w:p>
    <w:p w14:paraId="3AC531A7" w14:textId="77777777" w:rsidR="00C85902" w:rsidRPr="00BB55EF" w:rsidRDefault="00C85902" w:rsidP="00CF2323">
      <w:pPr>
        <w:pStyle w:val="EndNoteBibliography"/>
        <w:spacing w:after="0"/>
        <w:ind w:left="720" w:hanging="720"/>
        <w:rPr>
          <w:lang w:val="de-DE"/>
        </w:rPr>
      </w:pPr>
      <w:r w:rsidRPr="00BB55EF">
        <w:rPr>
          <w:lang w:val="de-DE"/>
        </w:rPr>
        <w:t xml:space="preserve">LÜLLMANN-RAUCH, R. &amp; ASAN, E. 2015. </w:t>
      </w:r>
      <w:r w:rsidRPr="00BB55EF">
        <w:rPr>
          <w:i/>
          <w:lang w:val="de-DE"/>
        </w:rPr>
        <w:t xml:space="preserve">Taschenlehrbuch Histologie, </w:t>
      </w:r>
      <w:r w:rsidRPr="00BB55EF">
        <w:rPr>
          <w:lang w:val="de-DE"/>
        </w:rPr>
        <w:t>Stuttgart, Thieme.</w:t>
      </w:r>
    </w:p>
    <w:p w14:paraId="3A0EB8D2" w14:textId="77777777" w:rsidR="00C85902" w:rsidRPr="00CF2323" w:rsidRDefault="00C85902" w:rsidP="00CF2323">
      <w:pPr>
        <w:pStyle w:val="EndNoteBibliography"/>
        <w:spacing w:after="0"/>
        <w:ind w:left="720" w:hanging="720"/>
      </w:pPr>
      <w:r w:rsidRPr="00CF2323">
        <w:t xml:space="preserve">LUO, L., CHAPOVAL, A. I., FLIES, D. B., ZHU, G., HIRANO, F., WANG, S., LAU, J. S., DONG, H., TAMADA, K. &amp; FLIES, A. S. 2004. B7-H3 enhances tumor immunity in vivo by costimulating rapid clonal expansion of antigen-specific CD8+ cytolytic T cells. </w:t>
      </w:r>
      <w:r w:rsidRPr="00CF2323">
        <w:rPr>
          <w:i/>
        </w:rPr>
        <w:t>The Journal of Immunology,</w:t>
      </w:r>
      <w:r w:rsidRPr="00CF2323">
        <w:t xml:space="preserve"> 173</w:t>
      </w:r>
      <w:r w:rsidRPr="00CF2323">
        <w:rPr>
          <w:b/>
        </w:rPr>
        <w:t>,</w:t>
      </w:r>
      <w:r w:rsidRPr="00CF2323">
        <w:t xml:space="preserve"> 5445-5450.</w:t>
      </w:r>
    </w:p>
    <w:p w14:paraId="61D5325E" w14:textId="77777777" w:rsidR="00C85902" w:rsidRPr="00CF2323" w:rsidRDefault="00C85902" w:rsidP="00CF2323">
      <w:pPr>
        <w:pStyle w:val="EndNoteBibliography"/>
        <w:spacing w:after="0"/>
        <w:ind w:left="720" w:hanging="720"/>
      </w:pPr>
      <w:r w:rsidRPr="00CF2323">
        <w:t xml:space="preserve">LUO, L., ZHU, G., XU, H., YAO, S., ZHOU, G., ZHU, Y., TAMADA, K., HUANG, L., FLIES, A. D. &amp; BROADWATER, M. 2015. B7-H3 promotes pathogenesis of autoimmune disease and inflammation by regulating the activity of different T cell subsets. </w:t>
      </w:r>
      <w:r w:rsidRPr="00CF2323">
        <w:rPr>
          <w:i/>
        </w:rPr>
        <w:t>PloS one,</w:t>
      </w:r>
      <w:r w:rsidRPr="00CF2323">
        <w:t xml:space="preserve"> 10</w:t>
      </w:r>
      <w:r w:rsidRPr="00CF2323">
        <w:rPr>
          <w:b/>
        </w:rPr>
        <w:t>,</w:t>
      </w:r>
      <w:r w:rsidRPr="00CF2323">
        <w:t xml:space="preserve"> e0130126.</w:t>
      </w:r>
    </w:p>
    <w:p w14:paraId="4AFA376F" w14:textId="77777777" w:rsidR="00C85902" w:rsidRPr="00CF2323" w:rsidRDefault="00C85902" w:rsidP="00CF2323">
      <w:pPr>
        <w:pStyle w:val="EndNoteBibliography"/>
        <w:spacing w:after="0"/>
        <w:ind w:left="720" w:hanging="720"/>
      </w:pPr>
      <w:r w:rsidRPr="00CF2323">
        <w:t xml:space="preserve">MAEDA, N., YOSHIMURA, K., YAMAMOTO, S., KURAMASU, A., INOUE, M., SUZUKI, N., WATANABE, Y., MAEDA, Y., KAMEI, R., TSUNEDOMI, R., SHINDO, Y., INUI, M., TAMADA, K., YOSHINO, S., HAZAMA, S. &amp; OKA, M. 2014. Expression of B7-H3, a Potential Factor of Tumor Immune Evasion in Combination with the Number of Regulatory T Cells, Affects Against Recurrence-Free Survival in Breast Cancer Patients. </w:t>
      </w:r>
      <w:r w:rsidRPr="00CF2323">
        <w:rPr>
          <w:i/>
        </w:rPr>
        <w:t>Annals of Surgical Oncology,</w:t>
      </w:r>
      <w:r w:rsidRPr="00CF2323">
        <w:t xml:space="preserve"> 21</w:t>
      </w:r>
      <w:r w:rsidRPr="00CF2323">
        <w:rPr>
          <w:b/>
        </w:rPr>
        <w:t>,</w:t>
      </w:r>
      <w:r w:rsidRPr="00CF2323">
        <w:t xml:space="preserve"> 546-554.</w:t>
      </w:r>
    </w:p>
    <w:p w14:paraId="7C2D7DC1" w14:textId="77777777" w:rsidR="00C85902" w:rsidRPr="00CF2323" w:rsidRDefault="00C85902" w:rsidP="00CF2323">
      <w:pPr>
        <w:pStyle w:val="EndNoteBibliography"/>
        <w:spacing w:after="0"/>
        <w:ind w:left="720" w:hanging="720"/>
      </w:pPr>
      <w:r w:rsidRPr="00CF2323">
        <w:t xml:space="preserve">MANHART, L. E., CRITCHLOW, C. W., HOLMES, K. K., DUTRO, S. M., ESCHENBACH, D. A., STEVENS, C. E. &amp; TOTTEN, P. A. 2003. Mucopurulent cervicitis and Mycoplasma genitalium. </w:t>
      </w:r>
      <w:r w:rsidRPr="00CF2323">
        <w:rPr>
          <w:i/>
        </w:rPr>
        <w:t>The Journal of infectious diseases,</w:t>
      </w:r>
      <w:r w:rsidRPr="00CF2323">
        <w:t xml:space="preserve"> 187</w:t>
      </w:r>
      <w:r w:rsidRPr="00CF2323">
        <w:rPr>
          <w:b/>
        </w:rPr>
        <w:t>,</w:t>
      </w:r>
      <w:r w:rsidRPr="00CF2323">
        <w:t xml:space="preserve"> 650-657.</w:t>
      </w:r>
    </w:p>
    <w:p w14:paraId="783E4C8C" w14:textId="77777777" w:rsidR="00C85902" w:rsidRPr="00CF2323" w:rsidRDefault="00C85902" w:rsidP="00CF2323">
      <w:pPr>
        <w:pStyle w:val="EndNoteBibliography"/>
        <w:spacing w:after="0"/>
        <w:ind w:left="720" w:hanging="720"/>
      </w:pPr>
      <w:r w:rsidRPr="00BB55EF">
        <w:rPr>
          <w:lang w:val="de-DE"/>
        </w:rPr>
        <w:t xml:space="preserve">MANHART, L. E., JENSEN, J. S., BRADSHAW, C. S., GOLDEN, M. R. &amp; MARTIN, D. H. 2015. </w:t>
      </w:r>
      <w:r w:rsidRPr="00CF2323">
        <w:t xml:space="preserve">Efficacy of Antimicrobial Therapy for Mycoplasma genitalium Infections. </w:t>
      </w:r>
      <w:r w:rsidRPr="00CF2323">
        <w:rPr>
          <w:i/>
        </w:rPr>
        <w:t>Clin Infect Dis,</w:t>
      </w:r>
      <w:r w:rsidRPr="00CF2323">
        <w:t xml:space="preserve"> 61 Suppl 8</w:t>
      </w:r>
      <w:r w:rsidRPr="00CF2323">
        <w:rPr>
          <w:b/>
        </w:rPr>
        <w:t>,</w:t>
      </w:r>
      <w:r w:rsidRPr="00CF2323">
        <w:t xml:space="preserve"> S802-17.</w:t>
      </w:r>
    </w:p>
    <w:p w14:paraId="090B8562" w14:textId="77777777" w:rsidR="00C85902" w:rsidRPr="00CF2323" w:rsidRDefault="00C85902" w:rsidP="00CF2323">
      <w:pPr>
        <w:pStyle w:val="EndNoteBibliography"/>
        <w:spacing w:after="0"/>
        <w:ind w:left="720" w:hanging="720"/>
      </w:pPr>
      <w:r w:rsidRPr="00CF2323">
        <w:t xml:space="preserve">MARIAPPAN, P., FINNEY, S. M., HEAD, E., SOMANI, B. K., ZACHOU, A., SMITH, G., MISHRIKI, S. F., N'DOW, J., GRIGOR, K. M. &amp; GROUP, F. M. O. T. E. U. C. 2012. Good quality white-light transurethral resection of bladder tumours (GQ-WLTURBT) with experienced surgeons performing complete resections and obtaining detrusor muscle reduces early recurrence in new non-muscle-invasive bladder cancer: validation across time and place and recommendation for benchmarking. </w:t>
      </w:r>
      <w:r w:rsidRPr="00CF2323">
        <w:rPr>
          <w:i/>
        </w:rPr>
        <w:t>BJU International,</w:t>
      </w:r>
      <w:r w:rsidRPr="00CF2323">
        <w:t xml:space="preserve"> 109</w:t>
      </w:r>
      <w:r w:rsidRPr="00CF2323">
        <w:rPr>
          <w:b/>
        </w:rPr>
        <w:t>,</w:t>
      </w:r>
      <w:r w:rsidRPr="00CF2323">
        <w:t xml:space="preserve"> 1666-1673.</w:t>
      </w:r>
    </w:p>
    <w:p w14:paraId="1A08B115" w14:textId="77777777" w:rsidR="00C85902" w:rsidRPr="00CF2323" w:rsidRDefault="00C85902" w:rsidP="00CF2323">
      <w:pPr>
        <w:pStyle w:val="EndNoteBibliography"/>
        <w:spacing w:after="0"/>
        <w:ind w:left="720" w:hanging="720"/>
      </w:pPr>
      <w:r w:rsidRPr="00CF2323">
        <w:t xml:space="preserve">MARSHALL, B. J. &amp; WINDSOR, H. M. 2005. The relation of Helicobacter pylori to gastric adenocarcinoma and lymphoma: pathophysiology, epidemiology, screening, clinical presentation, treatment, and prevention. </w:t>
      </w:r>
      <w:r w:rsidRPr="00CF2323">
        <w:rPr>
          <w:i/>
        </w:rPr>
        <w:t>Medical Clinics,</w:t>
      </w:r>
      <w:r w:rsidRPr="00CF2323">
        <w:t xml:space="preserve"> 89</w:t>
      </w:r>
      <w:r w:rsidRPr="00CF2323">
        <w:rPr>
          <w:b/>
        </w:rPr>
        <w:t>,</w:t>
      </w:r>
      <w:r w:rsidRPr="00CF2323">
        <w:t xml:space="preserve"> 313-344.</w:t>
      </w:r>
    </w:p>
    <w:p w14:paraId="5A7E3A1C" w14:textId="77777777" w:rsidR="00C85902" w:rsidRPr="00CF2323" w:rsidRDefault="00C85902" w:rsidP="00CF2323">
      <w:pPr>
        <w:pStyle w:val="EndNoteBibliography"/>
        <w:spacing w:after="0"/>
        <w:ind w:left="720" w:hanging="720"/>
      </w:pPr>
      <w:r w:rsidRPr="00CF2323">
        <w:t xml:space="preserve">MASSARD, C., GORDON, M. S., SHARMA, S., RAFII, S., WAINBERG, Z. A., LUKE, J., CURIEL, T. J., COLON-OTERO, G., HAMID, O., SANBORN, R. E., O'DONNELL, P. H., DRAKAKI, A., TAN, W., KURLAND, J. F., REBELATTO, M. C., JIN, X., BLAKE-HASKINS, J. A., GUPTA, A. &amp; SEGAL, N. H. 2016. Safety and Efficacy of Durvalumab (MEDI4736), an Anti-Programmed Cell Death Ligand-1 Immune Checkpoint Inhibitor, in Patients With Advanced Urothelial Bladder Cancer. </w:t>
      </w:r>
      <w:r w:rsidRPr="00CF2323">
        <w:rPr>
          <w:i/>
        </w:rPr>
        <w:t>J Clin Oncol,</w:t>
      </w:r>
      <w:r w:rsidRPr="00CF2323">
        <w:t xml:space="preserve"> 34</w:t>
      </w:r>
      <w:r w:rsidRPr="00CF2323">
        <w:rPr>
          <w:b/>
        </w:rPr>
        <w:t>,</w:t>
      </w:r>
      <w:r w:rsidRPr="00CF2323">
        <w:t xml:space="preserve"> 3119-25.</w:t>
      </w:r>
    </w:p>
    <w:p w14:paraId="378828F4" w14:textId="77777777" w:rsidR="00C85902" w:rsidRPr="00CF2323" w:rsidRDefault="00C85902" w:rsidP="00CF2323">
      <w:pPr>
        <w:pStyle w:val="EndNoteBibliography"/>
        <w:spacing w:after="0"/>
        <w:ind w:left="720" w:hanging="720"/>
      </w:pPr>
      <w:r w:rsidRPr="00CF2323">
        <w:t xml:space="preserve">MASSEY, B. D., NATION, E. F., GALLUP, C. A. &amp; HENDRICKS, E. D. 1965. Carcinoma of the Bladder: 20-year Experience in Private Practice. </w:t>
      </w:r>
      <w:r w:rsidRPr="00CF2323">
        <w:rPr>
          <w:i/>
        </w:rPr>
        <w:t>Journal of Urology,</w:t>
      </w:r>
      <w:r w:rsidRPr="00CF2323">
        <w:t xml:space="preserve"> 93</w:t>
      </w:r>
      <w:r w:rsidRPr="00CF2323">
        <w:rPr>
          <w:b/>
        </w:rPr>
        <w:t>,</w:t>
      </w:r>
      <w:r w:rsidRPr="00CF2323">
        <w:t xml:space="preserve"> 212-216.</w:t>
      </w:r>
    </w:p>
    <w:p w14:paraId="7D97D7E0" w14:textId="77777777" w:rsidR="00C85902" w:rsidRPr="00CF2323" w:rsidRDefault="00C85902" w:rsidP="00CF2323">
      <w:pPr>
        <w:pStyle w:val="EndNoteBibliography"/>
        <w:spacing w:after="0"/>
        <w:ind w:left="720" w:hanging="720"/>
      </w:pPr>
      <w:r w:rsidRPr="00CF2323">
        <w:t xml:space="preserve">MEAD, G. M., RUSSELL, M., CLARK, P., HARLAND, S. J., HARPER, P. G., COWAN, R., ROBERTS, J. T., USCINSKA, B. M., GRIFFITHS, G. O., PARMAR, M. K. B. &amp; ON BEHALF OF THE, M. R. C. A. B. C. W. P. 1998. A randomized trial comparing methotrexate and vinblastine (MV) with cisplatin, methotrexate and vinblastine (CMV) in advanced transitional cell carcinoma: results and a report on prognostic factors in a Medical Research Council study. </w:t>
      </w:r>
      <w:r w:rsidRPr="00CF2323">
        <w:rPr>
          <w:i/>
        </w:rPr>
        <w:t>British Journal of Cancer,</w:t>
      </w:r>
      <w:r w:rsidRPr="00CF2323">
        <w:t xml:space="preserve"> 78</w:t>
      </w:r>
      <w:r w:rsidRPr="00CF2323">
        <w:rPr>
          <w:b/>
        </w:rPr>
        <w:t>,</w:t>
      </w:r>
      <w:r w:rsidRPr="00CF2323">
        <w:t xml:space="preserve"> 1067-1075.</w:t>
      </w:r>
    </w:p>
    <w:p w14:paraId="4541B844" w14:textId="77777777" w:rsidR="00C85902" w:rsidRPr="00BB55EF" w:rsidRDefault="00C85902" w:rsidP="00CF2323">
      <w:pPr>
        <w:pStyle w:val="EndNoteBibliography"/>
        <w:spacing w:after="0"/>
        <w:ind w:left="720" w:hanging="720"/>
        <w:rPr>
          <w:lang w:val="de-DE"/>
        </w:rPr>
      </w:pPr>
      <w:r w:rsidRPr="00CF2323">
        <w:t xml:space="preserve">MEIJER, R. P., VAN ONNA, I. E. W., KOK, E. T. &amp; BOSCH, R. 2011. The risk profiles of three clinical types of carcinoma in situ of the bladder. </w:t>
      </w:r>
      <w:r w:rsidRPr="00BB55EF">
        <w:rPr>
          <w:i/>
          <w:lang w:val="de-DE"/>
        </w:rPr>
        <w:t>BJU International,</w:t>
      </w:r>
      <w:r w:rsidRPr="00BB55EF">
        <w:rPr>
          <w:lang w:val="de-DE"/>
        </w:rPr>
        <w:t xml:space="preserve"> 108</w:t>
      </w:r>
      <w:r w:rsidRPr="00BB55EF">
        <w:rPr>
          <w:b/>
          <w:lang w:val="de-DE"/>
        </w:rPr>
        <w:t>,</w:t>
      </w:r>
      <w:r w:rsidRPr="00BB55EF">
        <w:rPr>
          <w:lang w:val="de-DE"/>
        </w:rPr>
        <w:t xml:space="preserve"> 839-843.</w:t>
      </w:r>
    </w:p>
    <w:p w14:paraId="0546E757" w14:textId="77777777" w:rsidR="00C85902" w:rsidRPr="00CF2323" w:rsidRDefault="00C85902" w:rsidP="00CF2323">
      <w:pPr>
        <w:pStyle w:val="EndNoteBibliography"/>
        <w:spacing w:after="0"/>
        <w:ind w:left="720" w:hanging="720"/>
      </w:pPr>
      <w:r w:rsidRPr="00BB55EF">
        <w:rPr>
          <w:lang w:val="de-DE"/>
        </w:rPr>
        <w:t xml:space="preserve">MIN, G., ZHOU, G., SCHAPIRA, M., SUN, T.-T. &amp; KONG, X.-P. 2003. </w:t>
      </w:r>
      <w:r w:rsidRPr="00CF2323">
        <w:t xml:space="preserve">Structural basis of urothelial permeability barrier function as revealed by Cryo-EM studies of the 16 nm uroplakin particle. </w:t>
      </w:r>
      <w:r w:rsidRPr="00CF2323">
        <w:rPr>
          <w:i/>
        </w:rPr>
        <w:t>Journal of cell science,</w:t>
      </w:r>
      <w:r w:rsidRPr="00CF2323">
        <w:t xml:space="preserve"> 116</w:t>
      </w:r>
      <w:r w:rsidRPr="00CF2323">
        <w:rPr>
          <w:b/>
        </w:rPr>
        <w:t>,</w:t>
      </w:r>
      <w:r w:rsidRPr="00CF2323">
        <w:t xml:space="preserve"> 4087-4094.</w:t>
      </w:r>
    </w:p>
    <w:p w14:paraId="0C25B7E5" w14:textId="77777777" w:rsidR="00C85902" w:rsidRPr="00CF2323" w:rsidRDefault="00C85902" w:rsidP="00CF2323">
      <w:pPr>
        <w:pStyle w:val="EndNoteBibliography"/>
        <w:spacing w:after="0"/>
        <w:ind w:left="720" w:hanging="720"/>
      </w:pPr>
      <w:r w:rsidRPr="00CF2323">
        <w:t xml:space="preserve">MOCH, H., CUBILLA, A. L., HUMPHREY, P. A., REUTER, V. E. &amp; ULBRIGHT, T. M. 2016. The 2016 WHO Classification of Tumours of the Urinary System and Male Genital Organs—Part A: Renal, Penile, and Testicular Tumours. </w:t>
      </w:r>
      <w:r w:rsidRPr="00CF2323">
        <w:rPr>
          <w:i/>
        </w:rPr>
        <w:t>European Urology,</w:t>
      </w:r>
      <w:r w:rsidRPr="00CF2323">
        <w:t xml:space="preserve"> 70</w:t>
      </w:r>
      <w:r w:rsidRPr="00CF2323">
        <w:rPr>
          <w:b/>
        </w:rPr>
        <w:t>,</w:t>
      </w:r>
      <w:r w:rsidRPr="00CF2323">
        <w:t xml:space="preserve"> 93-105.</w:t>
      </w:r>
    </w:p>
    <w:p w14:paraId="1E0C8404" w14:textId="77777777" w:rsidR="00C85902" w:rsidRPr="00CF2323" w:rsidRDefault="00C85902" w:rsidP="00CF2323">
      <w:pPr>
        <w:pStyle w:val="EndNoteBibliography"/>
        <w:spacing w:after="0"/>
        <w:ind w:left="720" w:hanging="720"/>
      </w:pPr>
      <w:r w:rsidRPr="00F56657">
        <w:rPr>
          <w:lang w:val="en-GB"/>
        </w:rPr>
        <w:t xml:space="preserve">MORRIS, S. R. 2019. </w:t>
      </w:r>
      <w:r w:rsidRPr="00F56657">
        <w:rPr>
          <w:i/>
          <w:lang w:val="en-GB"/>
        </w:rPr>
        <w:t xml:space="preserve">Chlamydien-, Mykoplasmen- und Ureaplasmen-Schleimhautinfektionen </w:t>
      </w:r>
      <w:r w:rsidRPr="00F56657">
        <w:rPr>
          <w:lang w:val="en-GB"/>
        </w:rPr>
        <w:t xml:space="preserve">[Online]. </w:t>
      </w:r>
      <w:r w:rsidRPr="00CF2323">
        <w:t xml:space="preserve">Available: </w:t>
      </w:r>
      <w:r w:rsidRPr="00C85902">
        <w:t>https://www.msdmanuals.com/de/profi/infektionskrankheiten/geschlechtskrankheiten-stds/chlamydien-mykoplasmen-und-ureaplasmen-schleimhautinfektionen</w:t>
      </w:r>
      <w:r w:rsidRPr="00CF2323">
        <w:t xml:space="preserve"> [Accessed 06.04.2022].</w:t>
      </w:r>
    </w:p>
    <w:p w14:paraId="61314D4A" w14:textId="77777777" w:rsidR="00C85902" w:rsidRPr="00CF2323" w:rsidRDefault="00C85902" w:rsidP="00CF2323">
      <w:pPr>
        <w:pStyle w:val="EndNoteBibliography"/>
        <w:spacing w:after="0"/>
        <w:ind w:left="720" w:hanging="720"/>
      </w:pPr>
      <w:r w:rsidRPr="00CF2323">
        <w:t xml:space="preserve">NAGASHIMA, O., HARADA, N., USUI, Y., YAMAZAKI, T., YAGITA, H., OKUMURA, K., TAKAHASHI, K. &amp; AKIBA, H. 2008. B7-H3 contributes to the development of pathogenic Th2 cells in a murine model of asthma. </w:t>
      </w:r>
      <w:r w:rsidRPr="00CF2323">
        <w:rPr>
          <w:i/>
        </w:rPr>
        <w:t>The Journal of Immunology,</w:t>
      </w:r>
      <w:r w:rsidRPr="00CF2323">
        <w:t xml:space="preserve"> 181</w:t>
      </w:r>
      <w:r w:rsidRPr="00CF2323">
        <w:rPr>
          <w:b/>
        </w:rPr>
        <w:t>,</w:t>
      </w:r>
      <w:r w:rsidRPr="00CF2323">
        <w:t xml:space="preserve"> 4062-4071.</w:t>
      </w:r>
    </w:p>
    <w:p w14:paraId="3B6F06CB" w14:textId="77777777" w:rsidR="00C85902" w:rsidRPr="00BB55EF" w:rsidRDefault="00C85902" w:rsidP="00CF2323">
      <w:pPr>
        <w:pStyle w:val="EndNoteBibliography"/>
        <w:spacing w:after="0"/>
        <w:ind w:left="720" w:hanging="720"/>
        <w:rPr>
          <w:lang w:val="de-DE"/>
        </w:rPr>
      </w:pPr>
      <w:r w:rsidRPr="00CF2323">
        <w:t xml:space="preserve">NAMIKI, K., GOODISON, S., PORVASNIK, S., ALLAN, R. W., ICZKOWSKI, K. A., URBANEK, C., REYES, L., SAKAMOTO, N. &amp; ROSSER, C. J. 2009. Persistent exposure to Mycoplasma induces malignant transformation of human prostate cells. </w:t>
      </w:r>
      <w:r w:rsidRPr="00BB55EF">
        <w:rPr>
          <w:i/>
          <w:lang w:val="de-DE"/>
        </w:rPr>
        <w:t>PloS one,</w:t>
      </w:r>
      <w:r w:rsidRPr="00BB55EF">
        <w:rPr>
          <w:lang w:val="de-DE"/>
        </w:rPr>
        <w:t xml:space="preserve"> 4</w:t>
      </w:r>
      <w:r w:rsidRPr="00BB55EF">
        <w:rPr>
          <w:b/>
          <w:lang w:val="de-DE"/>
        </w:rPr>
        <w:t>,</w:t>
      </w:r>
      <w:r w:rsidRPr="00BB55EF">
        <w:rPr>
          <w:lang w:val="de-DE"/>
        </w:rPr>
        <w:t xml:space="preserve"> e6872-e6872.</w:t>
      </w:r>
    </w:p>
    <w:p w14:paraId="2D647DB4" w14:textId="77777777" w:rsidR="00C85902" w:rsidRPr="00BB55EF" w:rsidRDefault="00C85902" w:rsidP="00CF2323">
      <w:pPr>
        <w:pStyle w:val="EndNoteBibliography"/>
        <w:spacing w:after="0"/>
        <w:ind w:left="720" w:hanging="720"/>
        <w:rPr>
          <w:lang w:val="de-DE"/>
        </w:rPr>
      </w:pPr>
      <w:r w:rsidRPr="00BB55EF">
        <w:rPr>
          <w:lang w:val="de-DE"/>
        </w:rPr>
        <w:t xml:space="preserve">NEUMANN, G., FEUCHT, H. H., BECKER, W. &amp; SPÄTH, M. 2010. Mykoplasmen. </w:t>
      </w:r>
      <w:r w:rsidRPr="00BB55EF">
        <w:rPr>
          <w:i/>
          <w:lang w:val="de-DE"/>
        </w:rPr>
        <w:t>In:</w:t>
      </w:r>
      <w:r w:rsidRPr="00BB55EF">
        <w:rPr>
          <w:lang w:val="de-DE"/>
        </w:rPr>
        <w:t xml:space="preserve"> NEUMANN, G., FEUCHT, H. H., BECKER, W. &amp; SPÄTH, M. (eds.) </w:t>
      </w:r>
      <w:r w:rsidRPr="00BB55EF">
        <w:rPr>
          <w:i/>
          <w:lang w:val="de-DE"/>
        </w:rPr>
        <w:t>Gynäkologische Infektionen.</w:t>
      </w:r>
      <w:r w:rsidRPr="00BB55EF">
        <w:rPr>
          <w:lang w:val="de-DE"/>
        </w:rPr>
        <w:t xml:space="preserve"> Berlin, Heidelberg: Springer Berlin Heidelberg.</w:t>
      </w:r>
    </w:p>
    <w:p w14:paraId="033721B6" w14:textId="77777777" w:rsidR="00C85902" w:rsidRPr="00CF2323" w:rsidRDefault="00C85902" w:rsidP="00CF2323">
      <w:pPr>
        <w:pStyle w:val="EndNoteBibliography"/>
        <w:spacing w:after="0"/>
        <w:ind w:left="720" w:hanging="720"/>
      </w:pPr>
      <w:r w:rsidRPr="00F56657">
        <w:rPr>
          <w:lang w:val="de-DE"/>
        </w:rPr>
        <w:t xml:space="preserve">NI, L. &amp; DONG, C. 2017. </w:t>
      </w:r>
      <w:r w:rsidRPr="00CF2323">
        <w:t xml:space="preserve">New B7 family checkpoints in human cancers. </w:t>
      </w:r>
      <w:r w:rsidRPr="00CF2323">
        <w:rPr>
          <w:i/>
        </w:rPr>
        <w:t>Molecular cancer therapeutics,</w:t>
      </w:r>
      <w:r w:rsidRPr="00CF2323">
        <w:t xml:space="preserve"> 16</w:t>
      </w:r>
      <w:r w:rsidRPr="00CF2323">
        <w:rPr>
          <w:b/>
        </w:rPr>
        <w:t>,</w:t>
      </w:r>
      <w:r w:rsidRPr="00CF2323">
        <w:t xml:space="preserve"> 1203-1211.</w:t>
      </w:r>
    </w:p>
    <w:p w14:paraId="7514E2E2" w14:textId="77777777" w:rsidR="00C85902" w:rsidRPr="00CF2323" w:rsidRDefault="00C85902" w:rsidP="00CF2323">
      <w:pPr>
        <w:pStyle w:val="EndNoteBibliography"/>
        <w:spacing w:after="0"/>
        <w:ind w:left="720" w:hanging="720"/>
      </w:pPr>
      <w:r w:rsidRPr="00F56657">
        <w:t xml:space="preserve">NIEUWENHUIJZEN, J. A., DE VRIES, R. R., BEX, A., VAN DER POEL, H. G., MEINHARDT, W., ANTONINI, N. &amp; HORENBLAS, S. 2008. </w:t>
      </w:r>
      <w:r w:rsidRPr="00CF2323">
        <w:t xml:space="preserve">Urinary Diversions after Cystectomy: The Association of Clinical Factors, Complications and Functional Results of Four Different Diversions. </w:t>
      </w:r>
      <w:r w:rsidRPr="00CF2323">
        <w:rPr>
          <w:i/>
        </w:rPr>
        <w:t>European Urology,</w:t>
      </w:r>
      <w:r w:rsidRPr="00CF2323">
        <w:t xml:space="preserve"> 53</w:t>
      </w:r>
      <w:r w:rsidRPr="00CF2323">
        <w:rPr>
          <w:b/>
        </w:rPr>
        <w:t>,</w:t>
      </w:r>
      <w:r w:rsidRPr="00CF2323">
        <w:t xml:space="preserve"> 834-844.</w:t>
      </w:r>
    </w:p>
    <w:p w14:paraId="3D50F8E8" w14:textId="77777777" w:rsidR="00C85902" w:rsidRPr="00CF2323" w:rsidRDefault="00C85902" w:rsidP="00CF2323">
      <w:pPr>
        <w:pStyle w:val="EndNoteBibliography"/>
        <w:spacing w:after="0"/>
        <w:ind w:left="720" w:hanging="720"/>
      </w:pPr>
      <w:r w:rsidRPr="00CF2323">
        <w:t>PARKIN, D. M. 2006. The global health burden of infection</w:t>
      </w:r>
      <w:r w:rsidRPr="00CF2323">
        <w:rPr>
          <w:rFonts w:ascii="Cambria Math" w:hAnsi="Cambria Math" w:cs="Cambria Math"/>
        </w:rPr>
        <w:t>‐</w:t>
      </w:r>
      <w:r w:rsidRPr="00CF2323">
        <w:t xml:space="preserve">associated cancers in the year 2002. </w:t>
      </w:r>
      <w:r w:rsidRPr="00CF2323">
        <w:rPr>
          <w:i/>
        </w:rPr>
        <w:t>International journal of cancer,</w:t>
      </w:r>
      <w:r w:rsidRPr="00CF2323">
        <w:t xml:space="preserve"> 118</w:t>
      </w:r>
      <w:r w:rsidRPr="00CF2323">
        <w:rPr>
          <w:b/>
        </w:rPr>
        <w:t>,</w:t>
      </w:r>
      <w:r w:rsidRPr="00CF2323">
        <w:t xml:space="preserve"> 3030-3044.</w:t>
      </w:r>
    </w:p>
    <w:p w14:paraId="6669AFF9" w14:textId="77777777" w:rsidR="00C85902" w:rsidRPr="00CF2323" w:rsidRDefault="00C85902" w:rsidP="00CF2323">
      <w:pPr>
        <w:pStyle w:val="EndNoteBibliography"/>
        <w:spacing w:after="0"/>
        <w:ind w:left="720" w:hanging="720"/>
      </w:pPr>
      <w:r w:rsidRPr="00CF2323">
        <w:t xml:space="preserve">PATEL, M. R., ELLERTON, J., INFANTE, J. R., AGRAWAL, M., GORDON, M., ALJUMAILY, R., BRITTEN, C. D., DIRIX, L., LEE, K.-W., TAYLOR, M., SCHÖFFSKI, P., WANG, D., RAVAUD, A., GELB, A. B., XIONG, J., ROSEN, G., GULLEY, J. L. &amp; APOLO, A. B. 2018. Avelumab in metastatic urothelial carcinoma after platinum failure (JAVELIN Solid Tumor): pooled results from two expansion cohorts of an open-label, phase 1 trial. </w:t>
      </w:r>
      <w:r w:rsidRPr="00CF2323">
        <w:rPr>
          <w:i/>
        </w:rPr>
        <w:t>The Lancet Oncology,</w:t>
      </w:r>
      <w:r w:rsidRPr="00CF2323">
        <w:t xml:space="preserve"> 19</w:t>
      </w:r>
      <w:r w:rsidRPr="00CF2323">
        <w:rPr>
          <w:b/>
        </w:rPr>
        <w:t>,</w:t>
      </w:r>
      <w:r w:rsidRPr="00CF2323">
        <w:t xml:space="preserve"> 51-64.</w:t>
      </w:r>
    </w:p>
    <w:p w14:paraId="7F90DF89" w14:textId="77777777" w:rsidR="00C85902" w:rsidRPr="00CF2323" w:rsidRDefault="00C85902" w:rsidP="00CF2323">
      <w:pPr>
        <w:pStyle w:val="EndNoteBibliography"/>
        <w:spacing w:after="0"/>
        <w:ind w:left="720" w:hanging="720"/>
      </w:pPr>
      <w:r w:rsidRPr="00CF2323">
        <w:t xml:space="preserve">PATON, G. R., JACOBS, J. P. &amp; PERKINS, F. T. 1965. Chromosome Changes in Human Diploid-Cell Cultures Infected with Mycoplasma. </w:t>
      </w:r>
      <w:r w:rsidRPr="00CF2323">
        <w:rPr>
          <w:i/>
        </w:rPr>
        <w:t>Nature,</w:t>
      </w:r>
      <w:r w:rsidRPr="00CF2323">
        <w:t xml:space="preserve"> 207</w:t>
      </w:r>
      <w:r w:rsidRPr="00CF2323">
        <w:rPr>
          <w:b/>
        </w:rPr>
        <w:t>,</w:t>
      </w:r>
      <w:r w:rsidRPr="00CF2323">
        <w:t xml:space="preserve"> 43-45.</w:t>
      </w:r>
    </w:p>
    <w:p w14:paraId="73DC832D" w14:textId="77777777" w:rsidR="00C85902" w:rsidRPr="00CF2323" w:rsidRDefault="00C85902" w:rsidP="00CF2323">
      <w:pPr>
        <w:pStyle w:val="EndNoteBibliography"/>
        <w:spacing w:after="0"/>
        <w:ind w:left="720" w:hanging="720"/>
      </w:pPr>
      <w:r w:rsidRPr="00CF2323">
        <w:t xml:space="preserve">PEHLIVAN, M., PEHLIVAN, S., ONAY, H., KOYUNCUOGLU, M. &amp; KIRKALI, Z. 2005. Can mycoplasma-mediated oncogenesis be responsible for formation of conventional renal cell carcinoma? </w:t>
      </w:r>
      <w:r w:rsidRPr="00CF2323">
        <w:rPr>
          <w:i/>
        </w:rPr>
        <w:t>Urology,</w:t>
      </w:r>
      <w:r w:rsidRPr="00CF2323">
        <w:t xml:space="preserve"> 65</w:t>
      </w:r>
      <w:r w:rsidRPr="00CF2323">
        <w:rPr>
          <w:b/>
        </w:rPr>
        <w:t>,</w:t>
      </w:r>
      <w:r w:rsidRPr="00CF2323">
        <w:t xml:space="preserve"> 411-414.</w:t>
      </w:r>
    </w:p>
    <w:p w14:paraId="6DA151A7" w14:textId="77777777" w:rsidR="00C85902" w:rsidRPr="00CF2323" w:rsidRDefault="00C85902" w:rsidP="00CF2323">
      <w:pPr>
        <w:pStyle w:val="EndNoteBibliography"/>
        <w:spacing w:after="0"/>
        <w:ind w:left="720" w:hanging="720"/>
      </w:pPr>
      <w:r w:rsidRPr="00CF2323">
        <w:t xml:space="preserve">PELAJ, P. 2016. </w:t>
      </w:r>
      <w:r w:rsidRPr="00CF2323">
        <w:rPr>
          <w:i/>
        </w:rPr>
        <w:t xml:space="preserve">Karzinome </w:t>
      </w:r>
      <w:r w:rsidRPr="00CF2323">
        <w:t xml:space="preserve">[Online]. Available: </w:t>
      </w:r>
      <w:r w:rsidRPr="00C85902">
        <w:t>https://www.journalonko.de/thema/lesen/karzinome</w:t>
      </w:r>
      <w:r w:rsidRPr="00CF2323">
        <w:t xml:space="preserve"> [Accessed 31.03.2022].</w:t>
      </w:r>
    </w:p>
    <w:p w14:paraId="60C65AB1" w14:textId="77777777" w:rsidR="00C85902" w:rsidRPr="00CF2323" w:rsidRDefault="00C85902" w:rsidP="00CF2323">
      <w:pPr>
        <w:pStyle w:val="EndNoteBibliography"/>
        <w:spacing w:after="0"/>
        <w:ind w:left="720" w:hanging="720"/>
      </w:pPr>
      <w:r w:rsidRPr="00C85902">
        <w:rPr>
          <w:lang w:val="de-DE"/>
        </w:rPr>
        <w:t xml:space="preserve">PESCH, B., HAERTING, J., RANFT, U., KLIMPEL, A., OELSCHLÄGEL, B. &amp; SCHILL, W. 2000. </w:t>
      </w:r>
      <w:r w:rsidRPr="00CF2323">
        <w:t xml:space="preserve">Occupational risk factors for renal cell carcinoma: agent-specific results from a case-control study in Germany. MURC Study Group. Multicenter urothelial and renal cancer study. </w:t>
      </w:r>
      <w:r w:rsidRPr="00CF2323">
        <w:rPr>
          <w:i/>
        </w:rPr>
        <w:t>Int J Epidemiol,</w:t>
      </w:r>
      <w:r w:rsidRPr="00CF2323">
        <w:t xml:space="preserve"> 29</w:t>
      </w:r>
      <w:r w:rsidRPr="00CF2323">
        <w:rPr>
          <w:b/>
        </w:rPr>
        <w:t>,</w:t>
      </w:r>
      <w:r w:rsidRPr="00CF2323">
        <w:t xml:space="preserve"> 1014-24.</w:t>
      </w:r>
    </w:p>
    <w:p w14:paraId="34922F37" w14:textId="77777777" w:rsidR="00C85902" w:rsidRPr="00CF2323" w:rsidRDefault="00C85902" w:rsidP="00CF2323">
      <w:pPr>
        <w:pStyle w:val="EndNoteBibliography"/>
        <w:spacing w:after="0"/>
        <w:ind w:left="720" w:hanging="720"/>
      </w:pPr>
      <w:r w:rsidRPr="00CF2323">
        <w:t xml:space="preserve">PETTERSSON, J., NORDFELTH, R., DUBININA, E., BERGMAN, T., GUSTAFSSON, M., MAGNUSSON, K. E. &amp; WOLF-WATZ, H. 1996. Modulation of Virulence Factor Expression by Pathogen Target Cell Contact. </w:t>
      </w:r>
      <w:r w:rsidRPr="00CF2323">
        <w:rPr>
          <w:i/>
        </w:rPr>
        <w:t>Science,</w:t>
      </w:r>
      <w:r w:rsidRPr="00CF2323">
        <w:t xml:space="preserve"> 273</w:t>
      </w:r>
      <w:r w:rsidRPr="00CF2323">
        <w:rPr>
          <w:b/>
        </w:rPr>
        <w:t>,</w:t>
      </w:r>
      <w:r w:rsidRPr="00CF2323">
        <w:t xml:space="preserve"> 1231-1233.</w:t>
      </w:r>
    </w:p>
    <w:p w14:paraId="672A0E92" w14:textId="77777777" w:rsidR="00C85902" w:rsidRPr="00CF2323" w:rsidRDefault="00C85902" w:rsidP="00CF2323">
      <w:pPr>
        <w:pStyle w:val="EndNoteBibliography"/>
        <w:spacing w:after="0"/>
        <w:ind w:left="720" w:hanging="720"/>
      </w:pPr>
      <w:r w:rsidRPr="00CF2323">
        <w:t xml:space="preserve">PLOUSSARD, G., DANESHMAND, S., EFSTATHIOU, J. A., HERR, H. W., JAMES, N. D., RÖDEL, C. M., SHARIAT, S. F., SHIPLEY, W. U., STERNBERG, C. N., THALMANN, G. N. &amp; KASSOUF, W. 2014. Critical Analysis of Bladder Sparing with Trimodal Therapy in Muscle-invasive Bladder Cancer: A Systematic Review. </w:t>
      </w:r>
      <w:r w:rsidRPr="00CF2323">
        <w:rPr>
          <w:i/>
        </w:rPr>
        <w:t>European Urology,</w:t>
      </w:r>
      <w:r w:rsidRPr="00CF2323">
        <w:t xml:space="preserve"> 66</w:t>
      </w:r>
      <w:r w:rsidRPr="00CF2323">
        <w:rPr>
          <w:b/>
        </w:rPr>
        <w:t>,</w:t>
      </w:r>
      <w:r w:rsidRPr="00CF2323">
        <w:t xml:space="preserve"> 120-137.</w:t>
      </w:r>
    </w:p>
    <w:p w14:paraId="537DDCB7" w14:textId="77777777" w:rsidR="00C85902" w:rsidRPr="00CF2323" w:rsidRDefault="00C85902" w:rsidP="00CF2323">
      <w:pPr>
        <w:pStyle w:val="EndNoteBibliography"/>
        <w:spacing w:after="0"/>
        <w:ind w:left="720" w:hanging="720"/>
      </w:pPr>
      <w:r w:rsidRPr="00CF2323">
        <w:t xml:space="preserve">POWDERLY, J., COTE, G., FLAHERTY, K., SZMULEWITZ, R. Z., RIBAS, A., WEBER, J., LOO, D., BAUGHMAN, J., CHEN, F. &amp; MOORE, P. 2015. Interim results of an ongoing Phase I, dose escalation study of MGA271 (Fc-optimized humanized anti-B7-H3 monoclonal antibody) in patients with refractory B7-H3-expressing neoplasms or neoplasms whose vasculature expresses B7-H3. </w:t>
      </w:r>
      <w:r w:rsidRPr="00CF2323">
        <w:rPr>
          <w:i/>
        </w:rPr>
        <w:t>Journal for immunotherapy of cancer,</w:t>
      </w:r>
      <w:r w:rsidRPr="00CF2323">
        <w:t xml:space="preserve"> 3</w:t>
      </w:r>
      <w:r w:rsidRPr="00CF2323">
        <w:rPr>
          <w:b/>
        </w:rPr>
        <w:t>,</w:t>
      </w:r>
      <w:r w:rsidRPr="00CF2323">
        <w:t xml:space="preserve"> 1-2.</w:t>
      </w:r>
    </w:p>
    <w:p w14:paraId="1E8944FB" w14:textId="77777777" w:rsidR="00C85902" w:rsidRPr="00CF2323" w:rsidRDefault="00C85902" w:rsidP="00CF2323">
      <w:pPr>
        <w:pStyle w:val="EndNoteBibliography"/>
        <w:spacing w:after="0"/>
        <w:ind w:left="720" w:hanging="720"/>
      </w:pPr>
      <w:r w:rsidRPr="00CF2323">
        <w:t xml:space="preserve">POWLES, T., EDER, J. P., FINE, G. D., BRAITEH, F. S., LORIOT, Y., CRUZ, C., BELLMUNT, J., BURRIS, H. A., PETRYLAK, D. P., TENG, S.-L., SHEN, X., BOYD, Z., HEGDE, P. S., CHEN, D. S. &amp; VOGELZANG, N. J. 2014. MPDL3280A (anti-PD-L1) treatment leads to clinical activity in metastatic bladder cancer. </w:t>
      </w:r>
      <w:r w:rsidRPr="00CF2323">
        <w:rPr>
          <w:i/>
        </w:rPr>
        <w:t>Nature,</w:t>
      </w:r>
      <w:r w:rsidRPr="00CF2323">
        <w:t xml:space="preserve"> 515</w:t>
      </w:r>
      <w:r w:rsidRPr="00CF2323">
        <w:rPr>
          <w:b/>
        </w:rPr>
        <w:t>,</w:t>
      </w:r>
      <w:r w:rsidRPr="00CF2323">
        <w:t xml:space="preserve"> 558-562.</w:t>
      </w:r>
    </w:p>
    <w:p w14:paraId="13280543" w14:textId="77777777" w:rsidR="00C85902" w:rsidRPr="00CF2323" w:rsidRDefault="00C85902" w:rsidP="00CF2323">
      <w:pPr>
        <w:pStyle w:val="EndNoteBibliography"/>
        <w:spacing w:after="0"/>
        <w:ind w:left="720" w:hanging="720"/>
      </w:pPr>
      <w:r w:rsidRPr="00CF2323">
        <w:t xml:space="preserve">PRASAD, D. V. R., NGUYEN, T., LI, Z., YANG, Y., DUONG, J., WANG, Y. &amp; DONG, C. 2004. Murine B7-H3 Is a Negative Regulator of T Cells. </w:t>
      </w:r>
      <w:r w:rsidRPr="00CF2323">
        <w:rPr>
          <w:i/>
        </w:rPr>
        <w:t>The Journal of Immunology,</w:t>
      </w:r>
      <w:r w:rsidRPr="00CF2323">
        <w:t xml:space="preserve"> 173</w:t>
      </w:r>
      <w:r w:rsidRPr="00CF2323">
        <w:rPr>
          <w:b/>
        </w:rPr>
        <w:t>,</w:t>
      </w:r>
      <w:r w:rsidRPr="00CF2323">
        <w:t xml:space="preserve"> 2500.</w:t>
      </w:r>
    </w:p>
    <w:p w14:paraId="015E9809" w14:textId="77777777" w:rsidR="00C85902" w:rsidRPr="00BB55EF" w:rsidRDefault="00C85902" w:rsidP="00CF2323">
      <w:pPr>
        <w:pStyle w:val="EndNoteBibliography"/>
        <w:spacing w:after="0"/>
        <w:ind w:left="720" w:hanging="720"/>
        <w:rPr>
          <w:lang w:val="de-DE"/>
        </w:rPr>
      </w:pPr>
      <w:r w:rsidRPr="00CF2323">
        <w:t xml:space="preserve">RAMANI, V. A. C., BROMAGE, S. J. &amp; CLARKE, N. W. 2009. A contemporary standard for morbidity and outcome after radical cystectomy. </w:t>
      </w:r>
      <w:r w:rsidRPr="00BB55EF">
        <w:rPr>
          <w:i/>
          <w:lang w:val="de-DE"/>
        </w:rPr>
        <w:t>BJU International,</w:t>
      </w:r>
      <w:r w:rsidRPr="00BB55EF">
        <w:rPr>
          <w:lang w:val="de-DE"/>
        </w:rPr>
        <w:t xml:space="preserve"> 104</w:t>
      </w:r>
      <w:r w:rsidRPr="00BB55EF">
        <w:rPr>
          <w:b/>
          <w:lang w:val="de-DE"/>
        </w:rPr>
        <w:t>,</w:t>
      </w:r>
      <w:r w:rsidRPr="00BB55EF">
        <w:rPr>
          <w:lang w:val="de-DE"/>
        </w:rPr>
        <w:t xml:space="preserve"> 628-632.</w:t>
      </w:r>
    </w:p>
    <w:p w14:paraId="24FB49B1" w14:textId="77777777" w:rsidR="00C85902" w:rsidRPr="00BB55EF" w:rsidRDefault="00C85902" w:rsidP="00CF2323">
      <w:pPr>
        <w:pStyle w:val="EndNoteBibliography"/>
        <w:spacing w:after="0"/>
        <w:ind w:left="720" w:hanging="720"/>
        <w:rPr>
          <w:lang w:val="de-DE"/>
        </w:rPr>
      </w:pPr>
      <w:r w:rsidRPr="00BB55EF">
        <w:rPr>
          <w:lang w:val="de-DE"/>
        </w:rPr>
        <w:t xml:space="preserve">RICHTERSTETTER, M., WULLICH, B., AMANN, K., HAEBERLE, L., ENGEHAUSEN, D. G., GOEBELL, P. J. &amp; KRAUSE, F. S. 2012. </w:t>
      </w:r>
      <w:r w:rsidRPr="00CF2323">
        <w:t xml:space="preserve">The value of extended transurethral resection of bladder tumour (TURBT) in the treatment of bladder cancer. </w:t>
      </w:r>
      <w:r w:rsidRPr="00BB55EF">
        <w:rPr>
          <w:i/>
          <w:lang w:val="de-DE"/>
        </w:rPr>
        <w:t>BJU International,</w:t>
      </w:r>
      <w:r w:rsidRPr="00BB55EF">
        <w:rPr>
          <w:lang w:val="de-DE"/>
        </w:rPr>
        <w:t xml:space="preserve"> 110</w:t>
      </w:r>
      <w:r w:rsidRPr="00BB55EF">
        <w:rPr>
          <w:b/>
          <w:lang w:val="de-DE"/>
        </w:rPr>
        <w:t>,</w:t>
      </w:r>
      <w:r w:rsidRPr="00BB55EF">
        <w:rPr>
          <w:lang w:val="de-DE"/>
        </w:rPr>
        <w:t xml:space="preserve"> E76-E79.</w:t>
      </w:r>
    </w:p>
    <w:p w14:paraId="5746DC86" w14:textId="77777777" w:rsidR="00C85902" w:rsidRPr="00BB55EF" w:rsidRDefault="00C85902" w:rsidP="00CF2323">
      <w:pPr>
        <w:pStyle w:val="EndNoteBibliography"/>
        <w:spacing w:after="0"/>
        <w:ind w:left="720" w:hanging="720"/>
        <w:rPr>
          <w:lang w:val="de-DE"/>
        </w:rPr>
      </w:pPr>
      <w:r w:rsidRPr="00BB55EF">
        <w:rPr>
          <w:lang w:val="de-DE"/>
        </w:rPr>
        <w:t>ROBERT KOCH-INSTITUT 2017. Krebs in Deutschland für 2013/2014. Robert Koch-Institut.</w:t>
      </w:r>
    </w:p>
    <w:p w14:paraId="5486E21F" w14:textId="77777777" w:rsidR="00C85902" w:rsidRPr="00BB55EF" w:rsidRDefault="00C85902" w:rsidP="00CF2323">
      <w:pPr>
        <w:pStyle w:val="EndNoteBibliography"/>
        <w:spacing w:after="0"/>
        <w:ind w:left="720" w:hanging="720"/>
        <w:rPr>
          <w:lang w:val="de-DE"/>
        </w:rPr>
      </w:pPr>
      <w:r w:rsidRPr="00BB55EF">
        <w:rPr>
          <w:lang w:val="de-DE"/>
        </w:rPr>
        <w:t xml:space="preserve">SCHIPS, L., AUGUSTIN, H., ZIGEUNER, R. E., GALLÉ, G., HABERMANN, H., TRUMMER, H., PUMMER, K. &amp; HUBMER, G. 2002. </w:t>
      </w:r>
      <w:r w:rsidRPr="00CF2323">
        <w:t xml:space="preserve">Is repeated transurethral resection justified in patients with newly diagnosed superficial bladder cancer? </w:t>
      </w:r>
      <w:r w:rsidRPr="00BB55EF">
        <w:rPr>
          <w:i/>
          <w:lang w:val="de-DE"/>
        </w:rPr>
        <w:t>Urology,</w:t>
      </w:r>
      <w:r w:rsidRPr="00BB55EF">
        <w:rPr>
          <w:lang w:val="de-DE"/>
        </w:rPr>
        <w:t xml:space="preserve"> 59</w:t>
      </w:r>
      <w:r w:rsidRPr="00BB55EF">
        <w:rPr>
          <w:b/>
          <w:lang w:val="de-DE"/>
        </w:rPr>
        <w:t>,</w:t>
      </w:r>
      <w:r w:rsidRPr="00BB55EF">
        <w:rPr>
          <w:lang w:val="de-DE"/>
        </w:rPr>
        <w:t xml:space="preserve"> 220-223.</w:t>
      </w:r>
    </w:p>
    <w:p w14:paraId="559DB4E6" w14:textId="77777777" w:rsidR="00C85902" w:rsidRPr="00CF2323" w:rsidRDefault="00C85902" w:rsidP="00CF2323">
      <w:pPr>
        <w:pStyle w:val="EndNoteBibliography"/>
        <w:spacing w:after="0"/>
        <w:ind w:left="720" w:hanging="720"/>
      </w:pPr>
      <w:r w:rsidRPr="00BB55EF">
        <w:rPr>
          <w:lang w:val="de-DE"/>
        </w:rPr>
        <w:t xml:space="preserve">SCHLAERMANN, P., TOELLE, B., BERGER, H., SCHMIDT, S. C., GLANEMANN, M., ORDEMANN, J., BARTFELD, S., MOLLENKOPF, H. J. &amp; MEYER, T. F. 2016. </w:t>
      </w:r>
      <w:r w:rsidRPr="00CF2323">
        <w:t xml:space="preserve">A novel human gastric primary cell culture system for modelling Helicobacter pylori infection in vitro. </w:t>
      </w:r>
      <w:r w:rsidRPr="00CF2323">
        <w:rPr>
          <w:i/>
        </w:rPr>
        <w:t>Gut,</w:t>
      </w:r>
      <w:r w:rsidRPr="00CF2323">
        <w:t xml:space="preserve"> 65</w:t>
      </w:r>
      <w:r w:rsidRPr="00CF2323">
        <w:rPr>
          <w:b/>
        </w:rPr>
        <w:t>,</w:t>
      </w:r>
      <w:r w:rsidRPr="00CF2323">
        <w:t xml:space="preserve"> 202-213.</w:t>
      </w:r>
    </w:p>
    <w:p w14:paraId="1E31BC24" w14:textId="77777777" w:rsidR="00C85902" w:rsidRPr="00CF2323" w:rsidRDefault="00C85902" w:rsidP="00CF2323">
      <w:pPr>
        <w:pStyle w:val="EndNoteBibliography"/>
        <w:spacing w:after="0"/>
        <w:ind w:left="720" w:hanging="720"/>
      </w:pPr>
      <w:r w:rsidRPr="00CF2323">
        <w:t xml:space="preserve">SCIENCELL RESEARCH LABORATORIES. o.J. </w:t>
      </w:r>
      <w:r w:rsidRPr="00CF2323">
        <w:rPr>
          <w:i/>
        </w:rPr>
        <w:t xml:space="preserve">Human Urothelial Cells from Human Bladder </w:t>
      </w:r>
      <w:r w:rsidRPr="00CF2323">
        <w:t xml:space="preserve">[Online]. Available: </w:t>
      </w:r>
      <w:r w:rsidRPr="00C85902">
        <w:t>https://www.sciencellonline.com/human-urothelial-cells.html</w:t>
      </w:r>
      <w:r w:rsidRPr="00CF2323">
        <w:t xml:space="preserve"> [Accessed 27.09.2022].</w:t>
      </w:r>
    </w:p>
    <w:p w14:paraId="750B69B9" w14:textId="77777777" w:rsidR="00C85902" w:rsidRPr="00CF2323" w:rsidRDefault="00C85902" w:rsidP="00CF2323">
      <w:pPr>
        <w:pStyle w:val="EndNoteBibliography"/>
        <w:spacing w:after="0"/>
        <w:ind w:left="720" w:hanging="720"/>
      </w:pPr>
      <w:r w:rsidRPr="00CF2323">
        <w:t xml:space="preserve">SEAMAN, S., ZHU, Z., SAHA, S., ZHANG, X. M., YANG, M. Y., HILTON, M. B., MORRIS, K., SZOT, C., MORRIS, H., SWING, D. A., TESSAROLLO, L., SMITH, S. W., DEGRADO, S., BORKIN, D., JAIN, N., SCHEIERMANN, J., FENG, Y., WANG, Y., LI, J., WELSCH, D., DECRESCENZO, G., CHAUDHARY, A., ZUDAIRE, E., KLARMANN, K. D., KELLER, J. R., DIMITROV, D. S. &amp; ST. CROIX, B. 2017. Eradication of Tumors through Simultaneous Ablation of CD276/B7-H3-Positive Tumor Cells and Tumor Vasculature. </w:t>
      </w:r>
      <w:r w:rsidRPr="00CF2323">
        <w:rPr>
          <w:i/>
        </w:rPr>
        <w:t>Cancer Cell,</w:t>
      </w:r>
      <w:r w:rsidRPr="00CF2323">
        <w:t xml:space="preserve"> 31</w:t>
      </w:r>
      <w:r w:rsidRPr="00CF2323">
        <w:rPr>
          <w:b/>
        </w:rPr>
        <w:t>,</w:t>
      </w:r>
      <w:r w:rsidRPr="00CF2323">
        <w:t xml:space="preserve"> 501-515.e8.</w:t>
      </w:r>
    </w:p>
    <w:p w14:paraId="51E3C455" w14:textId="77777777" w:rsidR="00C85902" w:rsidRPr="00CF2323" w:rsidRDefault="00C85902" w:rsidP="00CF2323">
      <w:pPr>
        <w:pStyle w:val="EndNoteBibliography"/>
        <w:spacing w:after="0"/>
        <w:ind w:left="720" w:hanging="720"/>
      </w:pPr>
      <w:r w:rsidRPr="00CF2323">
        <w:t xml:space="preserve">SHARIAT, S. F., KARAKIEWICZ, P. I., PALAPATTU, G. S., LOTAN, Y., ROGERS, C. G., AMIEL, G. E., VAZINA, A., GUPTA, A., BASTIAN, P. J., SAGALOWSKY, A. I., SCHOENBERG, M. P. &amp; LERNER, S. P. 2006. Outcomes of Radical Cystectomy for Transitional Cell Carcinoma of the Bladder: A Contemporary Series From the Bladder Cancer Research Consortium. </w:t>
      </w:r>
      <w:r w:rsidRPr="00CF2323">
        <w:rPr>
          <w:i/>
        </w:rPr>
        <w:t>Journal of Urology,</w:t>
      </w:r>
      <w:r w:rsidRPr="00CF2323">
        <w:t xml:space="preserve"> 176</w:t>
      </w:r>
      <w:r w:rsidRPr="00CF2323">
        <w:rPr>
          <w:b/>
        </w:rPr>
        <w:t>,</w:t>
      </w:r>
      <w:r w:rsidRPr="00CF2323">
        <w:t xml:space="preserve"> 2414-2422.</w:t>
      </w:r>
    </w:p>
    <w:p w14:paraId="29EFE0E6" w14:textId="77777777" w:rsidR="00C85902" w:rsidRPr="00CF2323" w:rsidRDefault="00C85902" w:rsidP="00CF2323">
      <w:pPr>
        <w:pStyle w:val="EndNoteBibliography"/>
        <w:spacing w:after="0"/>
        <w:ind w:left="720" w:hanging="720"/>
      </w:pPr>
      <w:r w:rsidRPr="00CF2323">
        <w:t xml:space="preserve">SHARMA, P., CALLAHAN, M. K., BONO, P., KIM, J., SPILIOPOULOU, P., CALVO, E., PILLAI, R. N., OTT, P. A., DE BRAUD, F. &amp; MORSE, M. 2016. Nivolumab monotherapy in recurrent metastatic urothelial carcinoma (CheckMate 032): a multicentre, open-label, two-stage, multi-arm, phase 1/2 trial. </w:t>
      </w:r>
      <w:r w:rsidRPr="00CF2323">
        <w:rPr>
          <w:i/>
        </w:rPr>
        <w:t>The lancet oncology,</w:t>
      </w:r>
      <w:r w:rsidRPr="00CF2323">
        <w:t xml:space="preserve"> 17</w:t>
      </w:r>
      <w:r w:rsidRPr="00CF2323">
        <w:rPr>
          <w:b/>
        </w:rPr>
        <w:t>,</w:t>
      </w:r>
      <w:r w:rsidRPr="00CF2323">
        <w:t xml:space="preserve"> 1590-1598.</w:t>
      </w:r>
    </w:p>
    <w:p w14:paraId="7293A03B" w14:textId="77777777" w:rsidR="00C85902" w:rsidRPr="00CF2323" w:rsidRDefault="00C85902" w:rsidP="00CF2323">
      <w:pPr>
        <w:pStyle w:val="EndNoteBibliography"/>
        <w:spacing w:after="0"/>
        <w:ind w:left="720" w:hanging="720"/>
      </w:pPr>
      <w:r w:rsidRPr="00CF2323">
        <w:t xml:space="preserve">SIEGEL, R. L., MILLER, K. D. &amp; JEMAL, A. 2019. Cancer statistics, 2019. </w:t>
      </w:r>
      <w:r w:rsidRPr="00CF2323">
        <w:rPr>
          <w:i/>
        </w:rPr>
        <w:t>CA Cancer J Clin,</w:t>
      </w:r>
      <w:r w:rsidRPr="00CF2323">
        <w:t xml:space="preserve"> 69</w:t>
      </w:r>
      <w:r w:rsidRPr="00CF2323">
        <w:rPr>
          <w:b/>
        </w:rPr>
        <w:t>,</w:t>
      </w:r>
      <w:r w:rsidRPr="00CF2323">
        <w:t xml:space="preserve"> 7-34.</w:t>
      </w:r>
    </w:p>
    <w:p w14:paraId="2476FEFB" w14:textId="77777777" w:rsidR="00C85902" w:rsidRPr="00BB55EF" w:rsidRDefault="00C85902" w:rsidP="00CF2323">
      <w:pPr>
        <w:pStyle w:val="EndNoteBibliography"/>
        <w:spacing w:after="0"/>
        <w:ind w:left="720" w:hanging="720"/>
        <w:rPr>
          <w:lang w:val="de-DE"/>
        </w:rPr>
      </w:pPr>
      <w:r w:rsidRPr="00F56657">
        <w:rPr>
          <w:lang w:val="en-GB"/>
        </w:rPr>
        <w:t xml:space="preserve">SIVALINGAM, S., PROBERT, J. L. &amp; SCHWAIBOLD, H. 2005. </w:t>
      </w:r>
      <w:r w:rsidRPr="00CF2323">
        <w:t xml:space="preserve">The role of repeat transurethral resection in the management of high-risk superficial transitional cell bladder cancer. </w:t>
      </w:r>
      <w:r w:rsidRPr="00BB55EF">
        <w:rPr>
          <w:i/>
          <w:lang w:val="de-DE"/>
        </w:rPr>
        <w:t>BJU international,</w:t>
      </w:r>
      <w:r w:rsidRPr="00BB55EF">
        <w:rPr>
          <w:lang w:val="de-DE"/>
        </w:rPr>
        <w:t xml:space="preserve"> 96</w:t>
      </w:r>
      <w:r w:rsidRPr="00BB55EF">
        <w:rPr>
          <w:b/>
          <w:lang w:val="de-DE"/>
        </w:rPr>
        <w:t>,</w:t>
      </w:r>
      <w:r w:rsidRPr="00BB55EF">
        <w:rPr>
          <w:lang w:val="de-DE"/>
        </w:rPr>
        <w:t xml:space="preserve"> 759.</w:t>
      </w:r>
    </w:p>
    <w:p w14:paraId="0420AD4B" w14:textId="77777777" w:rsidR="00C85902" w:rsidRPr="00CF2323" w:rsidRDefault="00C85902" w:rsidP="00CF2323">
      <w:pPr>
        <w:pStyle w:val="EndNoteBibliography"/>
        <w:spacing w:after="0"/>
        <w:ind w:left="720" w:hanging="720"/>
      </w:pPr>
      <w:r w:rsidRPr="00BB55EF">
        <w:rPr>
          <w:lang w:val="de-DE"/>
        </w:rPr>
        <w:t xml:space="preserve">SKINNER, E. C., STEIN, J. P. &amp; SKINNER, D. G. 2007. </w:t>
      </w:r>
      <w:r w:rsidRPr="00CF2323">
        <w:t xml:space="preserve">Surgical benchmarks for the treatment of invasive bladder cancer. </w:t>
      </w:r>
      <w:r w:rsidRPr="00CF2323">
        <w:rPr>
          <w:i/>
        </w:rPr>
        <w:t>Urologic Oncology: Seminars and Original Investigations,</w:t>
      </w:r>
      <w:r w:rsidRPr="00CF2323">
        <w:t xml:space="preserve"> 25</w:t>
      </w:r>
      <w:r w:rsidRPr="00CF2323">
        <w:rPr>
          <w:b/>
        </w:rPr>
        <w:t>,</w:t>
      </w:r>
      <w:r w:rsidRPr="00CF2323">
        <w:t xml:space="preserve"> 66-71.</w:t>
      </w:r>
    </w:p>
    <w:p w14:paraId="74A4BC02" w14:textId="77777777" w:rsidR="00C85902" w:rsidRPr="00BB55EF" w:rsidRDefault="00C85902" w:rsidP="00CF2323">
      <w:pPr>
        <w:pStyle w:val="EndNoteBibliography"/>
        <w:spacing w:after="0"/>
        <w:ind w:left="720" w:hanging="720"/>
        <w:rPr>
          <w:lang w:val="de-DE"/>
        </w:rPr>
      </w:pPr>
      <w:r w:rsidRPr="00F56657">
        <w:rPr>
          <w:lang w:val="en-GB"/>
        </w:rPr>
        <w:t xml:space="preserve">STAATS, C. C., BOLDO, J., BROETTO, L., VAINSTEIN, M. &amp; SCHRANK, A. 2007. </w:t>
      </w:r>
      <w:r w:rsidRPr="00CF2323">
        <w:t xml:space="preserve">Comparative genome analysis of proteases, oligopeptide uptake and secretion systems in Mycoplasma spp. </w:t>
      </w:r>
      <w:r w:rsidRPr="00BB55EF">
        <w:rPr>
          <w:i/>
          <w:lang w:val="de-DE"/>
        </w:rPr>
        <w:t>Genetics and Molecular Biology,</w:t>
      </w:r>
      <w:r w:rsidRPr="00BB55EF">
        <w:rPr>
          <w:lang w:val="de-DE"/>
        </w:rPr>
        <w:t xml:space="preserve"> 30</w:t>
      </w:r>
      <w:r w:rsidRPr="00BB55EF">
        <w:rPr>
          <w:b/>
          <w:lang w:val="de-DE"/>
        </w:rPr>
        <w:t>,</w:t>
      </w:r>
      <w:r w:rsidRPr="00BB55EF">
        <w:rPr>
          <w:lang w:val="de-DE"/>
        </w:rPr>
        <w:t xml:space="preserve"> 225-229.</w:t>
      </w:r>
    </w:p>
    <w:p w14:paraId="6ECD878B" w14:textId="77777777" w:rsidR="00C85902" w:rsidRPr="00CF2323" w:rsidRDefault="00C85902" w:rsidP="00CF2323">
      <w:pPr>
        <w:pStyle w:val="EndNoteBibliography"/>
        <w:spacing w:after="0"/>
        <w:ind w:left="720" w:hanging="720"/>
      </w:pPr>
      <w:r w:rsidRPr="00BB55EF">
        <w:rPr>
          <w:lang w:val="de-DE"/>
        </w:rPr>
        <w:t xml:space="preserve">STATISTISCHTES BUNDESAMT. o.J. </w:t>
      </w:r>
      <w:r w:rsidRPr="00BB55EF">
        <w:rPr>
          <w:i/>
          <w:lang w:val="de-DE"/>
        </w:rPr>
        <w:t xml:space="preserve">Ältere Menschen Demographischer Wandel </w:t>
      </w:r>
      <w:r w:rsidRPr="00BB55EF">
        <w:rPr>
          <w:lang w:val="de-DE"/>
        </w:rPr>
        <w:t xml:space="preserve">[Online]. </w:t>
      </w:r>
      <w:r w:rsidRPr="00CF2323">
        <w:t xml:space="preserve">Available: </w:t>
      </w:r>
      <w:r w:rsidRPr="00C85902">
        <w:t>https://www.destatis.de/DE/Themen/Querschnitt/Demografischer-Wandel/Aeltere-Menschen/bevoelkerung-ab-65-j.html?nn=238640</w:t>
      </w:r>
      <w:r w:rsidRPr="00CF2323">
        <w:t xml:space="preserve"> [Accessed].</w:t>
      </w:r>
    </w:p>
    <w:p w14:paraId="5DD5D236" w14:textId="77777777" w:rsidR="00C85902" w:rsidRPr="00CF2323" w:rsidRDefault="00C85902" w:rsidP="00CF2323">
      <w:pPr>
        <w:pStyle w:val="EndNoteBibliography"/>
        <w:spacing w:after="0"/>
        <w:ind w:left="720" w:hanging="720"/>
      </w:pPr>
      <w:r w:rsidRPr="00C85902">
        <w:rPr>
          <w:lang w:val="de-DE"/>
        </w:rPr>
        <w:t xml:space="preserve">STEELE, R., LEES, R. E., KRAUS, A. S. &amp; CHANDAR, R. 1971. </w:t>
      </w:r>
      <w:r w:rsidRPr="00CF2323">
        <w:t xml:space="preserve">Sexual factors in the epidemiology of cancer of the prostate. </w:t>
      </w:r>
      <w:r w:rsidRPr="00CF2323">
        <w:rPr>
          <w:i/>
        </w:rPr>
        <w:t>Journal of Chronic Diseases,</w:t>
      </w:r>
      <w:r w:rsidRPr="00CF2323">
        <w:t xml:space="preserve"> 24</w:t>
      </w:r>
      <w:r w:rsidRPr="00CF2323">
        <w:rPr>
          <w:b/>
        </w:rPr>
        <w:t>,</w:t>
      </w:r>
      <w:r w:rsidRPr="00CF2323">
        <w:t xml:space="preserve"> 29-37.</w:t>
      </w:r>
    </w:p>
    <w:p w14:paraId="6EEE3F0D" w14:textId="77777777" w:rsidR="00C85902" w:rsidRPr="00BB55EF" w:rsidRDefault="00C85902" w:rsidP="00CF2323">
      <w:pPr>
        <w:pStyle w:val="EndNoteBibliography"/>
        <w:spacing w:after="0"/>
        <w:ind w:left="720" w:hanging="720"/>
        <w:rPr>
          <w:lang w:val="de-DE"/>
        </w:rPr>
      </w:pPr>
      <w:r w:rsidRPr="00CF2323">
        <w:t xml:space="preserve">STEIN, J. P., LIESKOVSKY, G., COTE, R., GROSHEN, S., FENG, A.-C., BOYD, S., SKINNER, E., BOCHNER, B., THANGATHURAI, D., MIKHAIL, M., RAGHAVAN, D. &amp; SKINNER, D. G. 2001. Radical Cystectomy in the Treatment of Invasive Bladder Cancer: Long-Term Results in 1,054 Patients. </w:t>
      </w:r>
      <w:r w:rsidRPr="00BB55EF">
        <w:rPr>
          <w:i/>
          <w:lang w:val="de-DE"/>
        </w:rPr>
        <w:t>Journal of Clinical Oncology,</w:t>
      </w:r>
      <w:r w:rsidRPr="00BB55EF">
        <w:rPr>
          <w:lang w:val="de-DE"/>
        </w:rPr>
        <w:t xml:space="preserve"> 19</w:t>
      </w:r>
      <w:r w:rsidRPr="00BB55EF">
        <w:rPr>
          <w:b/>
          <w:lang w:val="de-DE"/>
        </w:rPr>
        <w:t>,</w:t>
      </w:r>
      <w:r w:rsidRPr="00BB55EF">
        <w:rPr>
          <w:lang w:val="de-DE"/>
        </w:rPr>
        <w:t xml:space="preserve"> 666-675.</w:t>
      </w:r>
    </w:p>
    <w:p w14:paraId="44F5C2F8" w14:textId="77777777" w:rsidR="00C85902" w:rsidRPr="00CF2323" w:rsidRDefault="00C85902" w:rsidP="00CF2323">
      <w:pPr>
        <w:pStyle w:val="EndNoteBibliography"/>
        <w:spacing w:after="0"/>
        <w:ind w:left="720" w:hanging="720"/>
      </w:pPr>
      <w:r w:rsidRPr="00BB55EF">
        <w:rPr>
          <w:lang w:val="de-DE"/>
        </w:rPr>
        <w:t xml:space="preserve">STUDER, U. E., BACCHI, M., BIEDERMANN, C., JAEGER, P., KRAFT, R., MAZZUCCHELLI, L., MARKWALDER, R., SENN, E. &amp; SONNTAG, R. W. 1994. </w:t>
      </w:r>
      <w:r w:rsidRPr="00CF2323">
        <w:t xml:space="preserve">Adjuvant Cisplatin Chemotherapy Following Cystectomy for Bladder Cancer: Results of a Prospective Randomized Trial. </w:t>
      </w:r>
      <w:r w:rsidRPr="00CF2323">
        <w:rPr>
          <w:i/>
        </w:rPr>
        <w:t>The Journal of Urology,</w:t>
      </w:r>
      <w:r w:rsidRPr="00CF2323">
        <w:t xml:space="preserve"> 152</w:t>
      </w:r>
      <w:r w:rsidRPr="00CF2323">
        <w:rPr>
          <w:b/>
        </w:rPr>
        <w:t>,</w:t>
      </w:r>
      <w:r w:rsidRPr="00CF2323">
        <w:t xml:space="preserve"> 81-84.</w:t>
      </w:r>
    </w:p>
    <w:p w14:paraId="234577A4" w14:textId="77777777" w:rsidR="00C85902" w:rsidRPr="00CF2323" w:rsidRDefault="00C85902" w:rsidP="00CF2323">
      <w:pPr>
        <w:pStyle w:val="EndNoteBibliography"/>
        <w:spacing w:after="0"/>
        <w:ind w:left="720" w:hanging="720"/>
      </w:pPr>
      <w:r w:rsidRPr="00CF2323">
        <w:t xml:space="preserve">SUH, W.-K., GAJEWSKA, B. U., OKADA, H., GRONSKI, M. A., BERTRAM, E. M., DAWICKI, W., DUNCAN, G. S., BUKCZYNSKI, J., PLYTE, S., ELIA, A., WAKEHAM, A., ITIE, A., CHUNG, S., DA COSTA, J., ARYA, S., HORAN, T., CAMPBELL, P., GAIDA, K., OHASHI, P. S., WATTS, T. H., YOSHINAGA, S. K., BRAY, M. R., JORDANA, M. &amp; MAK, T. W. 2003. The B7 family member B7-H3 preferentially down-regulates T helper type 1–mediated immune responses. </w:t>
      </w:r>
      <w:r w:rsidRPr="00CF2323">
        <w:rPr>
          <w:i/>
        </w:rPr>
        <w:t>Nature Immunology,</w:t>
      </w:r>
      <w:r w:rsidRPr="00CF2323">
        <w:t xml:space="preserve"> 4</w:t>
      </w:r>
      <w:r w:rsidRPr="00CF2323">
        <w:rPr>
          <w:b/>
        </w:rPr>
        <w:t>,</w:t>
      </w:r>
      <w:r w:rsidRPr="00CF2323">
        <w:t xml:space="preserve"> 899-906.</w:t>
      </w:r>
    </w:p>
    <w:p w14:paraId="3B0B965C" w14:textId="77777777" w:rsidR="00C85902" w:rsidRPr="00CF2323" w:rsidRDefault="00C85902" w:rsidP="00CF2323">
      <w:pPr>
        <w:pStyle w:val="EndNoteBibliography"/>
        <w:spacing w:after="0"/>
        <w:ind w:left="720" w:hanging="720"/>
      </w:pPr>
      <w:r w:rsidRPr="00CF2323">
        <w:t xml:space="preserve">SUN, M., RICHARDS, S., PRASAD, D. V. R., MAI, X. M., RUDENSKY, A. &amp; DONG, C. 2002. Characterization of Mouse and Human B7-H3 Genes. </w:t>
      </w:r>
      <w:r w:rsidRPr="00CF2323">
        <w:rPr>
          <w:i/>
        </w:rPr>
        <w:t>The Journal of Immunology,</w:t>
      </w:r>
      <w:r w:rsidRPr="00CF2323">
        <w:t xml:space="preserve"> 168</w:t>
      </w:r>
      <w:r w:rsidRPr="00CF2323">
        <w:rPr>
          <w:b/>
        </w:rPr>
        <w:t>,</w:t>
      </w:r>
      <w:r w:rsidRPr="00CF2323">
        <w:t xml:space="preserve"> 6294.</w:t>
      </w:r>
    </w:p>
    <w:p w14:paraId="469421B6" w14:textId="77777777" w:rsidR="00C85902" w:rsidRPr="00CF2323" w:rsidRDefault="00C85902" w:rsidP="00CF2323">
      <w:pPr>
        <w:pStyle w:val="EndNoteBibliography"/>
        <w:spacing w:after="0"/>
        <w:ind w:left="720" w:hanging="720"/>
      </w:pPr>
      <w:r w:rsidRPr="00BB55EF">
        <w:rPr>
          <w:lang w:val="de-DE"/>
        </w:rPr>
        <w:t xml:space="preserve">SYLVESTER, R. J., OOSTERLINCK, W. &amp; VAN DER MEIJDEN, A. P. M. 2004. </w:t>
      </w:r>
      <w:r w:rsidRPr="00CF2323">
        <w:t xml:space="preserve">A SINGLE IMMEDIATE POSTOPERATIVE INSTILLATION OF CHEMOTHERAPY DECREASES THE RISK OF RECURRENCE IN PATIENTS WITH STAGE Ta T1 BLADDER CANCER: A META-ANALYSIS OF PUBLISHED RESULTS OF RANDOMIZED CLINICAL TRIALS. </w:t>
      </w:r>
      <w:r w:rsidRPr="00CF2323">
        <w:rPr>
          <w:i/>
        </w:rPr>
        <w:t>Journal of Urology,</w:t>
      </w:r>
      <w:r w:rsidRPr="00CF2323">
        <w:t xml:space="preserve"> 171</w:t>
      </w:r>
      <w:r w:rsidRPr="00CF2323">
        <w:rPr>
          <w:b/>
        </w:rPr>
        <w:t>,</w:t>
      </w:r>
      <w:r w:rsidRPr="00CF2323">
        <w:t xml:space="preserve"> 2186-2190.</w:t>
      </w:r>
    </w:p>
    <w:p w14:paraId="3BDE183C" w14:textId="77777777" w:rsidR="00C85902" w:rsidRPr="00CF2323" w:rsidRDefault="00C85902" w:rsidP="00CF2323">
      <w:pPr>
        <w:pStyle w:val="EndNoteBibliography"/>
        <w:spacing w:after="0"/>
        <w:ind w:left="720" w:hanging="720"/>
      </w:pPr>
      <w:r w:rsidRPr="00CF2323">
        <w:t xml:space="preserve">SYLVESTER, R. J., OOSTERLINCK, W. &amp; WITJES, J. A. 2008. The Schedule and Duration of Intravesical Chemotherapy in Patients with Non–Muscle-Invasive Bladder Cancer: A Systematic Review of the Published Results of Randomized Clinical Trials. </w:t>
      </w:r>
      <w:r w:rsidRPr="00CF2323">
        <w:rPr>
          <w:i/>
        </w:rPr>
        <w:t>European Urology,</w:t>
      </w:r>
      <w:r w:rsidRPr="00CF2323">
        <w:t xml:space="preserve"> 53</w:t>
      </w:r>
      <w:r w:rsidRPr="00CF2323">
        <w:rPr>
          <w:b/>
        </w:rPr>
        <w:t>,</w:t>
      </w:r>
      <w:r w:rsidRPr="00CF2323">
        <w:t xml:space="preserve"> 709-719.</w:t>
      </w:r>
    </w:p>
    <w:p w14:paraId="52549CD3" w14:textId="77777777" w:rsidR="00C85902" w:rsidRPr="00CF2323" w:rsidRDefault="00C85902" w:rsidP="00CF2323">
      <w:pPr>
        <w:pStyle w:val="EndNoteBibliography"/>
        <w:spacing w:after="0"/>
        <w:ind w:left="720" w:hanging="720"/>
      </w:pPr>
      <w:r w:rsidRPr="00CF2323">
        <w:t xml:space="preserve">SYLVESTER, R. J., VAN DER MEIJDEN, A. P. M., OOSTERLINCK, W., WITJES, J. A., BOUFFIOUX, C., DENIS, L., NEWLING, D. W. W. &amp; KURTH, K. 2006. Predicting Recurrence and Progression in Individual Patients with Stage Ta T1 Bladder Cancer Using EORTC Risk Tables: A Combined Analysis of 2596 Patients from Seven EORTC Trials. </w:t>
      </w:r>
      <w:r w:rsidRPr="00CF2323">
        <w:rPr>
          <w:i/>
        </w:rPr>
        <w:t>European Urology,</w:t>
      </w:r>
      <w:r w:rsidRPr="00CF2323">
        <w:t xml:space="preserve"> 49</w:t>
      </w:r>
      <w:r w:rsidRPr="00CF2323">
        <w:rPr>
          <w:b/>
        </w:rPr>
        <w:t>,</w:t>
      </w:r>
      <w:r w:rsidRPr="00CF2323">
        <w:t xml:space="preserve"> 466-477.</w:t>
      </w:r>
    </w:p>
    <w:p w14:paraId="13111B21" w14:textId="77777777" w:rsidR="00C85902" w:rsidRPr="00CF2323" w:rsidRDefault="00C85902" w:rsidP="00CF2323">
      <w:pPr>
        <w:pStyle w:val="EndNoteBibliography"/>
        <w:spacing w:after="0"/>
        <w:ind w:left="720" w:hanging="720"/>
      </w:pPr>
      <w:r w:rsidRPr="00CF2323">
        <w:t xml:space="preserve">TAKASATO, M., ER, P. X., CHIU, H. S., MAIER, B., BAILLIE, G. J., FERGUSON, C., PARTON, R. G., WOLVETANG, E. J., ROOST, M. S. &amp; CHUVA DE SOUSA LOPES, S. M. 2015. Kidney organoids from human iPS cells contain multiple lineages and model human nephrogenesis. </w:t>
      </w:r>
      <w:r w:rsidRPr="00CF2323">
        <w:rPr>
          <w:i/>
        </w:rPr>
        <w:t>Nature,</w:t>
      </w:r>
      <w:r w:rsidRPr="00CF2323">
        <w:t xml:space="preserve"> 526</w:t>
      </w:r>
      <w:r w:rsidRPr="00CF2323">
        <w:rPr>
          <w:b/>
        </w:rPr>
        <w:t>,</w:t>
      </w:r>
      <w:r w:rsidRPr="00CF2323">
        <w:t xml:space="preserve"> 564-568.</w:t>
      </w:r>
    </w:p>
    <w:p w14:paraId="124A779D" w14:textId="77777777" w:rsidR="00C85902" w:rsidRPr="00CF2323" w:rsidRDefault="00C85902" w:rsidP="00CF2323">
      <w:pPr>
        <w:pStyle w:val="EndNoteBibliography"/>
        <w:spacing w:after="0"/>
        <w:ind w:left="720" w:hanging="720"/>
      </w:pPr>
      <w:r w:rsidRPr="00CF2323">
        <w:t xml:space="preserve">TAKENAKA, A., YAMADA, Y., MIYAKE, H., HARA, I. &amp; FUJISAWA, M. 2008. Clinical outcomes of bacillus Calmette-Guérin instillation therapy for carcinoma in situ of urinary bladder. </w:t>
      </w:r>
      <w:r w:rsidRPr="00CF2323">
        <w:rPr>
          <w:i/>
        </w:rPr>
        <w:t>International Journal of Urology,</w:t>
      </w:r>
      <w:r w:rsidRPr="00CF2323">
        <w:t xml:space="preserve"> 15</w:t>
      </w:r>
      <w:r w:rsidRPr="00CF2323">
        <w:rPr>
          <w:b/>
        </w:rPr>
        <w:t>,</w:t>
      </w:r>
      <w:r w:rsidRPr="00CF2323">
        <w:t xml:space="preserve"> 309-313.</w:t>
      </w:r>
    </w:p>
    <w:p w14:paraId="4DDB8578" w14:textId="77777777" w:rsidR="00C85902" w:rsidRPr="00CF2323" w:rsidRDefault="00C85902" w:rsidP="00CF2323">
      <w:pPr>
        <w:pStyle w:val="EndNoteBibliography"/>
        <w:spacing w:after="0"/>
        <w:ind w:left="720" w:hanging="720"/>
      </w:pPr>
      <w:r w:rsidRPr="00CF2323">
        <w:t xml:space="preserve">TOPALIAN, S. L., HODI, F. S., BRAHMER, J. R., GETTINGER, S. N., SMITH, D. C., MCDERMOTT, D. F., POWDERLY, J. D., CARVAJAL, R. D., SOSMAN, J. A., ATKINS, M. B., LEMING, P. D., SPIGEL, D. R., ANTONIA, S. J., HORN, L., DRAKE, C. G., PARDOLL, D. M., CHEN, L., SHARFMAN, W. H., ANDERS, R. A., TAUBE, J. M., MCMILLER, T. L., XU, H., KORMAN, A. J., JURE-KUNKEL, M., AGRAWAL, S., MCDONALD, D., KOLLIA, G. D., GUPTA, A., WIGGINTON, J. M. &amp; SZNOL, M. 2012. Safety, activity, and immune correlates of anti-PD-1 antibody in cancer. </w:t>
      </w:r>
      <w:r w:rsidRPr="00CF2323">
        <w:rPr>
          <w:i/>
        </w:rPr>
        <w:t>The New England journal of medicine,</w:t>
      </w:r>
      <w:r w:rsidRPr="00CF2323">
        <w:t xml:space="preserve"> 366</w:t>
      </w:r>
      <w:r w:rsidRPr="00CF2323">
        <w:rPr>
          <w:b/>
        </w:rPr>
        <w:t>,</w:t>
      </w:r>
      <w:r w:rsidRPr="00CF2323">
        <w:t xml:space="preserve"> 2443-2454.</w:t>
      </w:r>
    </w:p>
    <w:p w14:paraId="799C38B6" w14:textId="77777777" w:rsidR="00C85902" w:rsidRPr="00CF2323" w:rsidRDefault="00C85902" w:rsidP="00CF2323">
      <w:pPr>
        <w:pStyle w:val="EndNoteBibliography"/>
        <w:spacing w:after="0"/>
        <w:ind w:left="720" w:hanging="720"/>
      </w:pPr>
      <w:r w:rsidRPr="00CF2323">
        <w:t xml:space="preserve">TOUATI, E. 2010. When bacteria become mutagenic and carcinogenic: lessons from H. pylori. </w:t>
      </w:r>
      <w:r w:rsidRPr="00CF2323">
        <w:rPr>
          <w:i/>
        </w:rPr>
        <w:t>Mutation Research/Genetic Toxicology and Environmental Mutagenesis,</w:t>
      </w:r>
      <w:r w:rsidRPr="00CF2323">
        <w:t xml:space="preserve"> 703</w:t>
      </w:r>
      <w:r w:rsidRPr="00CF2323">
        <w:rPr>
          <w:b/>
        </w:rPr>
        <w:t>,</w:t>
      </w:r>
      <w:r w:rsidRPr="00CF2323">
        <w:t xml:space="preserve"> 66-70.</w:t>
      </w:r>
    </w:p>
    <w:p w14:paraId="7938A270" w14:textId="77777777" w:rsidR="00C85902" w:rsidRPr="00CF2323" w:rsidRDefault="00C85902" w:rsidP="00CF2323">
      <w:pPr>
        <w:pStyle w:val="EndNoteBibliography"/>
        <w:spacing w:after="0"/>
        <w:ind w:left="720" w:hanging="720"/>
      </w:pPr>
      <w:r w:rsidRPr="00CF2323">
        <w:t xml:space="preserve">TRAN, C. N., THACKER, S. G., LOUIE, D. M., OLIVER, J., WHITE, P. T., ENDRES, J. L., URQUHART, A. G., CHUNG, K. C. &amp; FOX, D. A. 2008. Interactions of T cells with fibroblast-like synoviocytes: role of the B7 family costimulatory ligand B7-H3. </w:t>
      </w:r>
      <w:r w:rsidRPr="00CF2323">
        <w:rPr>
          <w:i/>
        </w:rPr>
        <w:t>The Journal of Immunology,</w:t>
      </w:r>
      <w:r w:rsidRPr="00CF2323">
        <w:t xml:space="preserve"> 180</w:t>
      </w:r>
      <w:r w:rsidRPr="00CF2323">
        <w:rPr>
          <w:b/>
        </w:rPr>
        <w:t>,</w:t>
      </w:r>
      <w:r w:rsidRPr="00CF2323">
        <w:t xml:space="preserve"> 2989-2998.</w:t>
      </w:r>
    </w:p>
    <w:p w14:paraId="0CBC9A80" w14:textId="77777777" w:rsidR="00C85902" w:rsidRPr="00CF2323" w:rsidRDefault="00C85902" w:rsidP="00CF2323">
      <w:pPr>
        <w:pStyle w:val="EndNoteBibliography"/>
        <w:spacing w:after="0"/>
        <w:ind w:left="720" w:hanging="720"/>
      </w:pPr>
      <w:r w:rsidRPr="00CF2323">
        <w:t xml:space="preserve">TREVORS, J. T. 1996. Genome size in bacteria. </w:t>
      </w:r>
      <w:r w:rsidRPr="00CF2323">
        <w:rPr>
          <w:i/>
        </w:rPr>
        <w:t>Antonie van Leeuwenhoek,</w:t>
      </w:r>
      <w:r w:rsidRPr="00CF2323">
        <w:t xml:space="preserve"> 69</w:t>
      </w:r>
      <w:r w:rsidRPr="00CF2323">
        <w:rPr>
          <w:b/>
        </w:rPr>
        <w:t>,</w:t>
      </w:r>
      <w:r w:rsidRPr="00CF2323">
        <w:t xml:space="preserve"> 293-303.</w:t>
      </w:r>
    </w:p>
    <w:p w14:paraId="3A7FE50F" w14:textId="77777777" w:rsidR="00C85902" w:rsidRPr="00CF2323" w:rsidRDefault="00C85902" w:rsidP="00CF2323">
      <w:pPr>
        <w:pStyle w:val="EndNoteBibliography"/>
        <w:spacing w:after="0"/>
        <w:ind w:left="720" w:hanging="720"/>
      </w:pPr>
      <w:r w:rsidRPr="00CF2323">
        <w:t xml:space="preserve">TSAI, S., WEAR, D. J., SHIH, J. W. &amp; LO, S. C. 1995. Mycoplasmas and oncogenesis: persistent infection and multistage malignant transformation. </w:t>
      </w:r>
      <w:r w:rsidRPr="00CF2323">
        <w:rPr>
          <w:i/>
        </w:rPr>
        <w:t>Proc Natl Acad Sci U S A,</w:t>
      </w:r>
      <w:r w:rsidRPr="00CF2323">
        <w:t xml:space="preserve"> 92</w:t>
      </w:r>
      <w:r w:rsidRPr="00CF2323">
        <w:rPr>
          <w:b/>
        </w:rPr>
        <w:t>,</w:t>
      </w:r>
      <w:r w:rsidRPr="00CF2323">
        <w:t xml:space="preserve"> 10197-201.</w:t>
      </w:r>
    </w:p>
    <w:p w14:paraId="57835201" w14:textId="77777777" w:rsidR="00C85902" w:rsidRPr="00CF2323" w:rsidRDefault="00C85902" w:rsidP="00CF2323">
      <w:pPr>
        <w:pStyle w:val="EndNoteBibliography"/>
        <w:spacing w:after="0"/>
        <w:ind w:left="720" w:hanging="720"/>
      </w:pPr>
      <w:r w:rsidRPr="00CF2323">
        <w:t xml:space="preserve">TURCO, P., HOUSSAMI, N., BULGARESI, P., TRONI, G. M., GALANTI, L., CARIAGGI, M. P., CIFARELLI, P., CROCETTI, E. &amp; CIATTO, S. 2011. Is Conventional Urinary Cytology Still Reliable for Diagnosis of Primary Bladder Carcinoma? Accuracy Based on Data Linkage of a Consecutive Clinical Series and Cancer Registry. </w:t>
      </w:r>
      <w:r w:rsidRPr="00CF2323">
        <w:rPr>
          <w:i/>
        </w:rPr>
        <w:t>Acta Cytologica,</w:t>
      </w:r>
      <w:r w:rsidRPr="00CF2323">
        <w:t xml:space="preserve"> 55</w:t>
      </w:r>
      <w:r w:rsidRPr="00CF2323">
        <w:rPr>
          <w:b/>
        </w:rPr>
        <w:t>,</w:t>
      </w:r>
      <w:r w:rsidRPr="00CF2323">
        <w:t xml:space="preserve"> 193-196.</w:t>
      </w:r>
    </w:p>
    <w:p w14:paraId="63EDDD3B" w14:textId="77777777" w:rsidR="00C85902" w:rsidRPr="00CF2323" w:rsidRDefault="00C85902" w:rsidP="00CF2323">
      <w:pPr>
        <w:pStyle w:val="EndNoteBibliography"/>
        <w:spacing w:after="0"/>
        <w:ind w:left="720" w:hanging="720"/>
      </w:pPr>
      <w:r w:rsidRPr="00CF2323">
        <w:t xml:space="preserve">TURNER, A. G., HENDRY, W. F., WILLIAMS, G. B. &amp; WALLACE, D. M. 1977. A haematuria diagnostic service. </w:t>
      </w:r>
      <w:r w:rsidRPr="00CF2323">
        <w:rPr>
          <w:i/>
        </w:rPr>
        <w:t>British Medical Journal,</w:t>
      </w:r>
      <w:r w:rsidRPr="00CF2323">
        <w:t xml:space="preserve"> 2</w:t>
      </w:r>
      <w:r w:rsidRPr="00CF2323">
        <w:rPr>
          <w:b/>
        </w:rPr>
        <w:t>,</w:t>
      </w:r>
      <w:r w:rsidRPr="00CF2323">
        <w:t xml:space="preserve"> 29-31.</w:t>
      </w:r>
    </w:p>
    <w:p w14:paraId="374D1DB7" w14:textId="77777777" w:rsidR="00C85902" w:rsidRPr="00CF2323" w:rsidRDefault="00C85902" w:rsidP="00CF2323">
      <w:pPr>
        <w:pStyle w:val="EndNoteBibliography"/>
        <w:spacing w:after="0"/>
        <w:ind w:left="720" w:hanging="720"/>
      </w:pPr>
      <w:r w:rsidRPr="00CF2323">
        <w:t xml:space="preserve">UNION FOR INTERNATIONAL CANCER CONTROL. </w:t>
      </w:r>
      <w:r w:rsidRPr="00CF2323">
        <w:rPr>
          <w:i/>
        </w:rPr>
        <w:t xml:space="preserve">TNM Classification of Malignant Tumours </w:t>
      </w:r>
      <w:r w:rsidRPr="00CF2323">
        <w:t xml:space="preserve">[Online]. Available: </w:t>
      </w:r>
      <w:r w:rsidRPr="00C85902">
        <w:t>https://www.uicc.org/resources/tnm</w:t>
      </w:r>
      <w:r w:rsidRPr="00CF2323">
        <w:t xml:space="preserve"> [Accessed 14.02.2022 2022].</w:t>
      </w:r>
    </w:p>
    <w:p w14:paraId="2479C3EF" w14:textId="77777777" w:rsidR="00C85902" w:rsidRPr="00CF2323" w:rsidRDefault="00C85902" w:rsidP="00CF2323">
      <w:pPr>
        <w:pStyle w:val="EndNoteBibliography"/>
        <w:spacing w:after="0"/>
        <w:ind w:left="720" w:hanging="720"/>
      </w:pPr>
      <w:r w:rsidRPr="00CF2323">
        <w:t xml:space="preserve">VAN RHIJN, B. W. G., VAN DER POEL, H. G. &amp; VAN DER KWAST, T. H. 2005. Urine Markers for Bladder Cancer Surveillance: A Systematic Review. </w:t>
      </w:r>
      <w:r w:rsidRPr="00CF2323">
        <w:rPr>
          <w:i/>
        </w:rPr>
        <w:t>European Urology,</w:t>
      </w:r>
      <w:r w:rsidRPr="00CF2323">
        <w:t xml:space="preserve"> 47</w:t>
      </w:r>
      <w:r w:rsidRPr="00CF2323">
        <w:rPr>
          <w:b/>
        </w:rPr>
        <w:t>,</w:t>
      </w:r>
      <w:r w:rsidRPr="00CF2323">
        <w:t xml:space="preserve"> 736-748.</w:t>
      </w:r>
    </w:p>
    <w:p w14:paraId="6E5E621E" w14:textId="77777777" w:rsidR="00C85902" w:rsidRPr="00CF2323" w:rsidRDefault="00C85902" w:rsidP="00CF2323">
      <w:pPr>
        <w:pStyle w:val="EndNoteBibliography"/>
        <w:spacing w:after="0"/>
        <w:ind w:left="720" w:hanging="720"/>
      </w:pPr>
      <w:r w:rsidRPr="00CF2323">
        <w:t xml:space="preserve">VEENSTRA, R. G., FLYNN, R., KREYMBORG, K., MCDONALD-HYMAN, C., SAHA, A., TAYLOR, P. A., OSBORN, M. J., PANOSKALTSIS-MORTARI, A., SCHMITT-GRAEFF, A. &amp; LIEBERKNECHT, E. 2015. B7-H3 expression in donor T cells and host cells negatively regulates acute graft-versus-host disease lethality. </w:t>
      </w:r>
      <w:r w:rsidRPr="00CF2323">
        <w:rPr>
          <w:i/>
        </w:rPr>
        <w:t>Blood, The Journal of the American Society of Hematology,</w:t>
      </w:r>
      <w:r w:rsidRPr="00CF2323">
        <w:t xml:space="preserve"> 125</w:t>
      </w:r>
      <w:r w:rsidRPr="00CF2323">
        <w:rPr>
          <w:b/>
        </w:rPr>
        <w:t>,</w:t>
      </w:r>
      <w:r w:rsidRPr="00CF2323">
        <w:t xml:space="preserve"> 3335-3346.</w:t>
      </w:r>
    </w:p>
    <w:p w14:paraId="35E6FEE0" w14:textId="77777777" w:rsidR="00C85902" w:rsidRPr="00CF2323" w:rsidRDefault="00C85902" w:rsidP="00CF2323">
      <w:pPr>
        <w:pStyle w:val="EndNoteBibliography"/>
        <w:spacing w:after="0"/>
        <w:ind w:left="720" w:hanging="720"/>
      </w:pPr>
      <w:r w:rsidRPr="00CF2323">
        <w:t xml:space="preserve">VLAANDEREN, J., TAEGER, D., WELLMAN, J., KEIL, U., SCHÜZ, J. &amp; STRAIF, K. 2013. Extended cancer mortality follow-up of a German rubber industry cohort. </w:t>
      </w:r>
      <w:r w:rsidRPr="00CF2323">
        <w:rPr>
          <w:i/>
        </w:rPr>
        <w:t>J Occup Environ Med,</w:t>
      </w:r>
      <w:r w:rsidRPr="00CF2323">
        <w:t xml:space="preserve"> 55</w:t>
      </w:r>
      <w:r w:rsidRPr="00CF2323">
        <w:rPr>
          <w:b/>
        </w:rPr>
        <w:t>,</w:t>
      </w:r>
      <w:r w:rsidRPr="00CF2323">
        <w:t xml:space="preserve"> 966-72.</w:t>
      </w:r>
    </w:p>
    <w:p w14:paraId="79CCB974" w14:textId="77777777" w:rsidR="00C85902" w:rsidRPr="00CF2323" w:rsidRDefault="00C85902" w:rsidP="00CF2323">
      <w:pPr>
        <w:pStyle w:val="EndNoteBibliography"/>
        <w:spacing w:after="0"/>
        <w:ind w:left="720" w:hanging="720"/>
      </w:pPr>
      <w:r w:rsidRPr="00F56657">
        <w:rPr>
          <w:lang w:val="en-GB"/>
        </w:rPr>
        <w:t xml:space="preserve">VOGELMANN, R. &amp; AMIEVA, M. R. 2007. </w:t>
      </w:r>
      <w:r w:rsidRPr="00CF2323">
        <w:t xml:space="preserve">The role of bacterial pathogens in cancer. </w:t>
      </w:r>
      <w:r w:rsidRPr="00CF2323">
        <w:rPr>
          <w:i/>
        </w:rPr>
        <w:t>Current opinion in microbiology,</w:t>
      </w:r>
      <w:r w:rsidRPr="00CF2323">
        <w:t xml:space="preserve"> 10</w:t>
      </w:r>
      <w:r w:rsidRPr="00CF2323">
        <w:rPr>
          <w:b/>
        </w:rPr>
        <w:t>,</w:t>
      </w:r>
      <w:r w:rsidRPr="00CF2323">
        <w:t xml:space="preserve"> 76-81.</w:t>
      </w:r>
    </w:p>
    <w:p w14:paraId="3DF38E6D" w14:textId="77777777" w:rsidR="00C85902" w:rsidRPr="00CF2323" w:rsidRDefault="00C85902" w:rsidP="00CF2323">
      <w:pPr>
        <w:pStyle w:val="EndNoteBibliography"/>
        <w:spacing w:after="0"/>
        <w:ind w:left="720" w:hanging="720"/>
      </w:pPr>
      <w:r w:rsidRPr="00F56657">
        <w:t xml:space="preserve">VOM DORP, F., PAL, P., TSCHIRDEWAHN, S., ROSSI, R., BÖRGERMANN, C., SCHENCK, M., BECKER, M., SZARVAS, T., HAKENBERG, O. W. &amp; RÜBBEN, H. 2011. </w:t>
      </w:r>
      <w:r w:rsidRPr="00CF2323">
        <w:t xml:space="preserve">Correlation of Pathological and Cytological-Cytometric Grading of Transitional Cell Carcinoma of the Urinary Tract. </w:t>
      </w:r>
      <w:r w:rsidRPr="00CF2323">
        <w:rPr>
          <w:i/>
        </w:rPr>
        <w:t>Urologia Internationalis,</w:t>
      </w:r>
      <w:r w:rsidRPr="00CF2323">
        <w:t xml:space="preserve"> 86</w:t>
      </w:r>
      <w:r w:rsidRPr="00CF2323">
        <w:rPr>
          <w:b/>
        </w:rPr>
        <w:t>,</w:t>
      </w:r>
      <w:r w:rsidRPr="00CF2323">
        <w:t xml:space="preserve"> 36-40.</w:t>
      </w:r>
    </w:p>
    <w:p w14:paraId="43ABCC08" w14:textId="77777777" w:rsidR="00C85902" w:rsidRPr="00CF2323" w:rsidRDefault="00C85902" w:rsidP="00CF2323">
      <w:pPr>
        <w:pStyle w:val="EndNoteBibliography"/>
        <w:spacing w:after="0"/>
        <w:ind w:left="720" w:hanging="720"/>
      </w:pPr>
      <w:r w:rsidRPr="00CF2323">
        <w:t xml:space="preserve">WAITES, K. B. &amp; TALKINGTON, D. F. 2004. Mycoplasma pneumoniae and its role as a human pathogen. </w:t>
      </w:r>
      <w:r w:rsidRPr="00CF2323">
        <w:rPr>
          <w:i/>
        </w:rPr>
        <w:t>Clinical microbiology reviews,</w:t>
      </w:r>
      <w:r w:rsidRPr="00CF2323">
        <w:t xml:space="preserve"> 17</w:t>
      </w:r>
      <w:r w:rsidRPr="00CF2323">
        <w:rPr>
          <w:b/>
        </w:rPr>
        <w:t>,</w:t>
      </w:r>
      <w:r w:rsidRPr="00CF2323">
        <w:t xml:space="preserve"> 697-728.</w:t>
      </w:r>
    </w:p>
    <w:p w14:paraId="30BF1FFB" w14:textId="77777777" w:rsidR="00C85902" w:rsidRPr="00CF2323" w:rsidRDefault="00C85902" w:rsidP="00CF2323">
      <w:pPr>
        <w:pStyle w:val="EndNoteBibliography"/>
        <w:spacing w:after="0"/>
        <w:ind w:left="720" w:hanging="720"/>
      </w:pPr>
      <w:r w:rsidRPr="00CF2323">
        <w:t xml:space="preserve">WAKUI, M. &amp; SHIIGAI, T. 2000. Urinary tract cancer screening through analysis of urinary red blood cell volume distribution. </w:t>
      </w:r>
      <w:r w:rsidRPr="00CF2323">
        <w:rPr>
          <w:i/>
        </w:rPr>
        <w:t>Int J Urol,</w:t>
      </w:r>
      <w:r w:rsidRPr="00CF2323">
        <w:t xml:space="preserve"> 7</w:t>
      </w:r>
      <w:r w:rsidRPr="00CF2323">
        <w:rPr>
          <w:b/>
        </w:rPr>
        <w:t>,</w:t>
      </w:r>
      <w:r w:rsidRPr="00CF2323">
        <w:t xml:space="preserve"> 248-53.</w:t>
      </w:r>
    </w:p>
    <w:p w14:paraId="2F3AA831" w14:textId="77777777" w:rsidR="00C85902" w:rsidRPr="00CF2323" w:rsidRDefault="00C85902" w:rsidP="00CF2323">
      <w:pPr>
        <w:pStyle w:val="EndNoteBibliography"/>
        <w:spacing w:after="0"/>
        <w:ind w:left="720" w:hanging="720"/>
      </w:pPr>
      <w:r w:rsidRPr="00CF2323">
        <w:t xml:space="preserve">WALLACE, D. M. A., RAGHAVAN, D., KELLY, K. A., SANDEMAN, T. F., CONN, I. G., TERIANA, N., DUNN, J., BOULAS, J. &amp; LATIEF, T. 1991. Neo-adjuvant (Pre-emptive) Cisplatin Therapy in Invasive Transitional Cell Carcinoma of the Bladder. </w:t>
      </w:r>
      <w:r w:rsidRPr="00CF2323">
        <w:rPr>
          <w:i/>
        </w:rPr>
        <w:t>British Journal of Urology,</w:t>
      </w:r>
      <w:r w:rsidRPr="00CF2323">
        <w:t xml:space="preserve"> 67</w:t>
      </w:r>
      <w:r w:rsidRPr="00CF2323">
        <w:rPr>
          <w:b/>
        </w:rPr>
        <w:t>,</w:t>
      </w:r>
      <w:r w:rsidRPr="00CF2323">
        <w:t xml:space="preserve"> 608-615.</w:t>
      </w:r>
    </w:p>
    <w:p w14:paraId="785328A1" w14:textId="77777777" w:rsidR="00C85902" w:rsidRPr="00CF2323" w:rsidRDefault="00C85902" w:rsidP="00CF2323">
      <w:pPr>
        <w:pStyle w:val="EndNoteBibliography"/>
        <w:spacing w:after="0"/>
        <w:ind w:left="720" w:hanging="720"/>
      </w:pPr>
      <w:r w:rsidRPr="00CF2323">
        <w:t xml:space="preserve">WANG, L., FRASER, C. C., KIKLY, K., WELLS, A. D., HAN, R., COYLE, A. J., CHEN, L. &amp; HANCOCK, W. W. 2005. B7-H3 promotes acute and chronic allograft rejection. </w:t>
      </w:r>
      <w:r w:rsidRPr="00CF2323">
        <w:rPr>
          <w:i/>
        </w:rPr>
        <w:t>European Journal of Immunology,</w:t>
      </w:r>
      <w:r w:rsidRPr="00CF2323">
        <w:t xml:space="preserve"> 35</w:t>
      </w:r>
      <w:r w:rsidRPr="00CF2323">
        <w:rPr>
          <w:b/>
        </w:rPr>
        <w:t>,</w:t>
      </w:r>
      <w:r w:rsidRPr="00CF2323">
        <w:t xml:space="preserve"> 428-438.</w:t>
      </w:r>
    </w:p>
    <w:p w14:paraId="294A979C" w14:textId="77777777" w:rsidR="00C85902" w:rsidRPr="00CF2323" w:rsidRDefault="00C85902" w:rsidP="00CF2323">
      <w:pPr>
        <w:pStyle w:val="EndNoteBibliography"/>
        <w:spacing w:after="0"/>
        <w:ind w:left="720" w:hanging="720"/>
      </w:pPr>
      <w:r w:rsidRPr="00BB55EF">
        <w:rPr>
          <w:lang w:val="de-DE"/>
        </w:rPr>
        <w:t xml:space="preserve">WEI, S. C., DUFFY, C. R. &amp; ALLISON, J. P. 2018. </w:t>
      </w:r>
      <w:r w:rsidRPr="00CF2323">
        <w:t xml:space="preserve">Fundamental Mechanisms of Immune Checkpoint Blockade TherapyFundamental Mechanisms of Immune Checkpoint Blockade Therapy. </w:t>
      </w:r>
      <w:r w:rsidRPr="00CF2323">
        <w:rPr>
          <w:i/>
        </w:rPr>
        <w:t>Cancer discovery,</w:t>
      </w:r>
      <w:r w:rsidRPr="00CF2323">
        <w:t xml:space="preserve"> 8</w:t>
      </w:r>
      <w:r w:rsidRPr="00CF2323">
        <w:rPr>
          <w:b/>
        </w:rPr>
        <w:t>,</w:t>
      </w:r>
      <w:r w:rsidRPr="00CF2323">
        <w:t xml:space="preserve"> 1069-1086.</w:t>
      </w:r>
    </w:p>
    <w:p w14:paraId="2DA6FD89" w14:textId="77777777" w:rsidR="00C85902" w:rsidRPr="00CF2323" w:rsidRDefault="00C85902" w:rsidP="00CF2323">
      <w:pPr>
        <w:pStyle w:val="EndNoteBibliography"/>
        <w:spacing w:after="0"/>
        <w:ind w:left="720" w:hanging="720"/>
      </w:pPr>
      <w:r w:rsidRPr="00CF2323">
        <w:t xml:space="preserve">WU, D., ZHANG, Z., PAN, H., FAN, Y., QU, P. &amp; ZHOU, J. 2015. Upregulation of the B7/CD28 family member B7-H3 in bladder cancer. </w:t>
      </w:r>
      <w:r w:rsidRPr="00CF2323">
        <w:rPr>
          <w:i/>
        </w:rPr>
        <w:t>Oncology Letters,</w:t>
      </w:r>
      <w:r w:rsidRPr="00CF2323">
        <w:t xml:space="preserve"> 9</w:t>
      </w:r>
      <w:r w:rsidRPr="00CF2323">
        <w:rPr>
          <w:b/>
        </w:rPr>
        <w:t>,</w:t>
      </w:r>
      <w:r w:rsidRPr="00CF2323">
        <w:t xml:space="preserve"> 1420-1424.</w:t>
      </w:r>
    </w:p>
    <w:p w14:paraId="7A593DA5" w14:textId="77777777" w:rsidR="00C85902" w:rsidRPr="00CF2323" w:rsidRDefault="00C85902" w:rsidP="00CF2323">
      <w:pPr>
        <w:pStyle w:val="EndNoteBibliography"/>
        <w:spacing w:after="0"/>
        <w:ind w:left="720" w:hanging="720"/>
      </w:pPr>
      <w:r w:rsidRPr="00CF2323">
        <w:t xml:space="preserve">XU, Y., LI, H., CHEN, W., YAO, X., XING, Y., WANG, X., ZHONG, J. &amp; MENG, G. 2013. Mycoplasma hyorhinis activates the NLRP3 inflammasome and promotes migration and invasion of gastric cancer cells. </w:t>
      </w:r>
      <w:r w:rsidRPr="00CF2323">
        <w:rPr>
          <w:i/>
        </w:rPr>
        <w:t>PloS one,</w:t>
      </w:r>
      <w:r w:rsidRPr="00CF2323">
        <w:t xml:space="preserve"> 8</w:t>
      </w:r>
      <w:r w:rsidRPr="00CF2323">
        <w:rPr>
          <w:b/>
        </w:rPr>
        <w:t>,</w:t>
      </w:r>
      <w:r w:rsidRPr="00CF2323">
        <w:t xml:space="preserve"> e77955.</w:t>
      </w:r>
    </w:p>
    <w:p w14:paraId="4C9ECAB7" w14:textId="77777777" w:rsidR="00C85902" w:rsidRPr="00CF2323" w:rsidRDefault="00C85902" w:rsidP="00CF2323">
      <w:pPr>
        <w:pStyle w:val="EndNoteBibliography"/>
        <w:spacing w:after="0"/>
        <w:ind w:left="720" w:hanging="720"/>
      </w:pPr>
      <w:r w:rsidRPr="00CF2323">
        <w:t xml:space="preserve">XU, Z., WANG, L., TIAN, J., MAN, H., LI, P. &amp; SHAN, B. 2018a. High expression of B7-H3 and CD163 in cancer tissues indicates malignant clinicopathological status and poor prognosis of patients with urothelial cell carcinoma of the bladder. </w:t>
      </w:r>
      <w:r w:rsidRPr="00CF2323">
        <w:rPr>
          <w:i/>
        </w:rPr>
        <w:t>Oncology Letters,</w:t>
      </w:r>
      <w:r w:rsidRPr="00CF2323">
        <w:t xml:space="preserve"> 15</w:t>
      </w:r>
      <w:r w:rsidRPr="00CF2323">
        <w:rPr>
          <w:b/>
        </w:rPr>
        <w:t>,</w:t>
      </w:r>
      <w:r w:rsidRPr="00CF2323">
        <w:t xml:space="preserve"> 6519-6526.</w:t>
      </w:r>
    </w:p>
    <w:p w14:paraId="02D3BE5A" w14:textId="77777777" w:rsidR="00C85902" w:rsidRPr="00CF2323" w:rsidRDefault="00C85902" w:rsidP="00CF2323">
      <w:pPr>
        <w:pStyle w:val="EndNoteBibliography"/>
        <w:spacing w:after="0"/>
        <w:ind w:left="720" w:hanging="720"/>
      </w:pPr>
      <w:r w:rsidRPr="00F56657">
        <w:t xml:space="preserve">XU, Z. L., ZHANG, Y., WANG, L., LI, F., MAN, H. W., LI, P.-F. &amp; SHAN, B. E. 2018b. </w:t>
      </w:r>
      <w:r w:rsidRPr="00CF2323">
        <w:t>B7</w:t>
      </w:r>
      <w:r w:rsidRPr="00CF2323">
        <w:rPr>
          <w:rFonts w:ascii="Cambria Math" w:hAnsi="Cambria Math" w:cs="Cambria Math"/>
        </w:rPr>
        <w:t>‑</w:t>
      </w:r>
      <w:r w:rsidRPr="00CF2323">
        <w:t>H3 promotes malignant progression of muscle</w:t>
      </w:r>
      <w:r w:rsidRPr="00CF2323">
        <w:rPr>
          <w:rFonts w:ascii="Cambria Math" w:hAnsi="Cambria Math" w:cs="Cambria Math"/>
        </w:rPr>
        <w:t>‑</w:t>
      </w:r>
      <w:r w:rsidRPr="00CF2323">
        <w:t xml:space="preserve">invasive bladder cancer. </w:t>
      </w:r>
      <w:r w:rsidRPr="00CF2323">
        <w:rPr>
          <w:i/>
        </w:rPr>
        <w:t>Oncology Reports,</w:t>
      </w:r>
      <w:r w:rsidRPr="00CF2323">
        <w:t xml:space="preserve"> 40.</w:t>
      </w:r>
    </w:p>
    <w:p w14:paraId="103A3D71" w14:textId="77777777" w:rsidR="00C85902" w:rsidRPr="00CF2323" w:rsidRDefault="00C85902" w:rsidP="00CF2323">
      <w:pPr>
        <w:pStyle w:val="EndNoteBibliography"/>
        <w:spacing w:after="0"/>
        <w:ind w:left="720" w:hanging="720"/>
      </w:pPr>
      <w:r w:rsidRPr="00CF2323">
        <w:t xml:space="preserve">XYLINAS, E., ROBINSON, B., KLUTH, L., VOLKMER, B., HAUTMANN, R., KÜFER, R., ZERBIB, M., KWON, E., THOMPSON, R. &amp; BOORJIAN, S. 2014a. Association of T-cell co-regulatory protein expression with clinical outcomes following radical cystectomy for urothelial carcinoma of the bladder. </w:t>
      </w:r>
      <w:r w:rsidRPr="00CF2323">
        <w:rPr>
          <w:i/>
        </w:rPr>
        <w:t>European Journal of Surgical Oncology (EJSO),</w:t>
      </w:r>
      <w:r w:rsidRPr="00CF2323">
        <w:t xml:space="preserve"> 40</w:t>
      </w:r>
      <w:r w:rsidRPr="00CF2323">
        <w:rPr>
          <w:b/>
        </w:rPr>
        <w:t>,</w:t>
      </w:r>
      <w:r w:rsidRPr="00CF2323">
        <w:t xml:space="preserve"> 121-127.</w:t>
      </w:r>
    </w:p>
    <w:p w14:paraId="2553DB1E" w14:textId="77777777" w:rsidR="00C85902" w:rsidRPr="00CF2323" w:rsidRDefault="00C85902" w:rsidP="00CF2323">
      <w:pPr>
        <w:pStyle w:val="EndNoteBibliography"/>
        <w:spacing w:after="0"/>
        <w:ind w:left="720" w:hanging="720"/>
      </w:pPr>
      <w:r w:rsidRPr="00CF2323">
        <w:t xml:space="preserve">XYLINAS, E., ROBINSON, B. D., KLUTH, L. A., VOLKMER, B. G., HAUTMANN, R., KÜFER, R., ZERBIB, M., KWON, E., THOMPSON, R. H., BOORJIAN, S. A. &amp; SHARIAT, S. F. 2014b. Association of T-cell co-regulatory protein expression with clinical outcomes following radical cystectomy for urothelial carcinoma of the bladder. </w:t>
      </w:r>
      <w:r w:rsidRPr="00CF2323">
        <w:rPr>
          <w:i/>
        </w:rPr>
        <w:t>European Journal of Surgical Oncology (EJSO),</w:t>
      </w:r>
      <w:r w:rsidRPr="00CF2323">
        <w:t xml:space="preserve"> 40</w:t>
      </w:r>
      <w:r w:rsidRPr="00CF2323">
        <w:rPr>
          <w:b/>
        </w:rPr>
        <w:t>,</w:t>
      </w:r>
      <w:r w:rsidRPr="00CF2323">
        <w:t xml:space="preserve"> 121-127.</w:t>
      </w:r>
    </w:p>
    <w:p w14:paraId="1D09C7D2" w14:textId="77777777" w:rsidR="00C85902" w:rsidRPr="00CF2323" w:rsidRDefault="00C85902" w:rsidP="00CF2323">
      <w:pPr>
        <w:pStyle w:val="EndNoteBibliography"/>
        <w:spacing w:after="0"/>
        <w:ind w:left="720" w:hanging="720"/>
      </w:pPr>
      <w:r w:rsidRPr="00CF2323">
        <w:t xml:space="preserve">YANG, H., QU, L., MA, H., CHEN, L., LIU, W., LIU, C., MENG, L., WU, J. &amp; SHOU, C. 2010. Mycoplasma hyorhinis infection in gastric carcinoma and its effects on the malignant phenotypes of gastric cancer cells. </w:t>
      </w:r>
      <w:r w:rsidRPr="00CF2323">
        <w:rPr>
          <w:i/>
        </w:rPr>
        <w:t>BMC Gastroenterol,</w:t>
      </w:r>
      <w:r w:rsidRPr="00CF2323">
        <w:t xml:space="preserve"> 10</w:t>
      </w:r>
      <w:r w:rsidRPr="00CF2323">
        <w:rPr>
          <w:b/>
        </w:rPr>
        <w:t>,</w:t>
      </w:r>
      <w:r w:rsidRPr="00CF2323">
        <w:t xml:space="preserve"> 132.</w:t>
      </w:r>
    </w:p>
    <w:p w14:paraId="1B43866D" w14:textId="77777777" w:rsidR="00C85902" w:rsidRPr="00CF2323" w:rsidRDefault="00C85902" w:rsidP="00CF2323">
      <w:pPr>
        <w:pStyle w:val="EndNoteBibliography"/>
        <w:spacing w:after="0"/>
        <w:ind w:left="720" w:hanging="720"/>
      </w:pPr>
      <w:r w:rsidRPr="00CF2323">
        <w:t xml:space="preserve">YANG, S., WEI, W. &amp; ZHAO, Q. 2020. B7-H3, a checkpoint molecule, as a target for cancer immunotherapy. </w:t>
      </w:r>
      <w:r w:rsidRPr="00CF2323">
        <w:rPr>
          <w:i/>
        </w:rPr>
        <w:t>International journal of biological sciences,</w:t>
      </w:r>
      <w:r w:rsidRPr="00CF2323">
        <w:t xml:space="preserve"> 16</w:t>
      </w:r>
      <w:r w:rsidRPr="00CF2323">
        <w:rPr>
          <w:b/>
        </w:rPr>
        <w:t>,</w:t>
      </w:r>
      <w:r w:rsidRPr="00CF2323">
        <w:t xml:space="preserve"> 1767-1773.</w:t>
      </w:r>
    </w:p>
    <w:p w14:paraId="0888D3D9" w14:textId="77777777" w:rsidR="00C85902" w:rsidRPr="00CF2323" w:rsidRDefault="00C85902" w:rsidP="00CF2323">
      <w:pPr>
        <w:pStyle w:val="EndNoteBibliography"/>
        <w:spacing w:after="0"/>
        <w:ind w:left="720" w:hanging="720"/>
      </w:pPr>
      <w:r w:rsidRPr="00CF2323">
        <w:t xml:space="preserve">ZANG, X. &amp; ALLISON, J. P. 2007. The B7 Family and Cancer Therapy: Costimulation and Coinhibition. </w:t>
      </w:r>
      <w:r w:rsidRPr="00CF2323">
        <w:rPr>
          <w:i/>
        </w:rPr>
        <w:t>Clinical Cancer Research,</w:t>
      </w:r>
      <w:r w:rsidRPr="00CF2323">
        <w:t xml:space="preserve"> 13</w:t>
      </w:r>
      <w:r w:rsidRPr="00CF2323">
        <w:rPr>
          <w:b/>
        </w:rPr>
        <w:t>,</w:t>
      </w:r>
      <w:r w:rsidRPr="00CF2323">
        <w:t xml:space="preserve"> 5271.</w:t>
      </w:r>
    </w:p>
    <w:p w14:paraId="0433F3EB" w14:textId="77777777" w:rsidR="00C85902" w:rsidRPr="00CF2323" w:rsidRDefault="00C85902" w:rsidP="00CF2323">
      <w:pPr>
        <w:pStyle w:val="EndNoteBibliography"/>
        <w:spacing w:after="0"/>
        <w:ind w:left="720" w:hanging="720"/>
      </w:pPr>
      <w:r w:rsidRPr="00CF2323">
        <w:t xml:space="preserve">ZANG, X., THOMPSON, R. H., AL-AHMADIE HIKMAT, A., SERIO ANGEL, M., REUTER VICTOR, E., EASTHAM JAMES, A., SCARDINO PETER, T., SHARMA, P. &amp; ALLISON JAMES, P. 2007. B7-H3 and B7x are highly expressed in human prostate cancer and associated with disease spread and poor outcome. </w:t>
      </w:r>
      <w:r w:rsidRPr="00CF2323">
        <w:rPr>
          <w:i/>
        </w:rPr>
        <w:t>Proceedings of the National Academy of Sciences,</w:t>
      </w:r>
      <w:r w:rsidRPr="00CF2323">
        <w:t xml:space="preserve"> 104</w:t>
      </w:r>
      <w:r w:rsidRPr="00CF2323">
        <w:rPr>
          <w:b/>
        </w:rPr>
        <w:t>,</w:t>
      </w:r>
      <w:r w:rsidRPr="00CF2323">
        <w:t xml:space="preserve"> 19458-19463.</w:t>
      </w:r>
    </w:p>
    <w:p w14:paraId="582127CE" w14:textId="77777777" w:rsidR="00C85902" w:rsidRPr="00CF2323" w:rsidRDefault="00C85902" w:rsidP="00CF2323">
      <w:pPr>
        <w:pStyle w:val="EndNoteBibliography"/>
        <w:spacing w:after="0"/>
        <w:ind w:left="720" w:hanging="720"/>
      </w:pPr>
      <w:r w:rsidRPr="00CF2323">
        <w:t xml:space="preserve">ZELLA, D., CURRELI, S., BENEDETTI, F., KRISHNAN, S., COCCHI, F., LATINOVIC, O. S., DENARO, F., ROMERIO, F., DJAVANI, M. &amp; CHARURAT, M. E. 2018. Mycoplasma promotes malignant transformation in vivo, and its DnaK, a bacterial chaperone protein, has broad oncogenic properties. </w:t>
      </w:r>
      <w:r w:rsidRPr="00CF2323">
        <w:rPr>
          <w:i/>
        </w:rPr>
        <w:t>Proceedings of the National Academy of Sciences,</w:t>
      </w:r>
      <w:r w:rsidRPr="00CF2323">
        <w:t xml:space="preserve"> 115</w:t>
      </w:r>
      <w:r w:rsidRPr="00CF2323">
        <w:rPr>
          <w:b/>
        </w:rPr>
        <w:t>,</w:t>
      </w:r>
      <w:r w:rsidRPr="00CF2323">
        <w:t xml:space="preserve"> E12005-E12014.</w:t>
      </w:r>
    </w:p>
    <w:p w14:paraId="0B00F4D6" w14:textId="77777777" w:rsidR="00C85902" w:rsidRPr="00CF2323" w:rsidRDefault="00C85902" w:rsidP="00CF2323">
      <w:pPr>
        <w:pStyle w:val="EndNoteBibliography"/>
        <w:spacing w:after="0"/>
        <w:ind w:left="720" w:hanging="720"/>
      </w:pPr>
      <w:r w:rsidRPr="00CF2323">
        <w:t xml:space="preserve">ZENTRUM FÜR KREBSREGISTERDATEN. 2018. </w:t>
      </w:r>
      <w:r w:rsidRPr="00CF2323">
        <w:rPr>
          <w:i/>
        </w:rPr>
        <w:t xml:space="preserve">Krebsdaten </w:t>
      </w:r>
      <w:r w:rsidRPr="00CF2323">
        <w:t xml:space="preserve">[Online]. Available: </w:t>
      </w:r>
      <w:r w:rsidRPr="00C85902">
        <w:t>https://www.krebsdaten.de/Krebs/DE/Content/Krebsarten/Harnblasenkrebs/harnblasenkrebs_node.html</w:t>
      </w:r>
      <w:r w:rsidRPr="00CF2323">
        <w:t xml:space="preserve"> [Accessed 08.04.2022].</w:t>
      </w:r>
    </w:p>
    <w:p w14:paraId="3EBD77E7" w14:textId="77777777" w:rsidR="00C85902" w:rsidRPr="00CF2323" w:rsidRDefault="00C85902" w:rsidP="00CF2323">
      <w:pPr>
        <w:pStyle w:val="EndNoteBibliography"/>
        <w:spacing w:after="0"/>
        <w:ind w:left="720" w:hanging="720"/>
      </w:pPr>
      <w:r w:rsidRPr="00CF2323">
        <w:t xml:space="preserve">ZHANG, B., SHIH, J. W.-K., WEAR, D. J., TSAI, S. &amp; LO, S.-C. 1997. High-Level Expression of H-ras and c-myc Oncogenes in Mycoplasma-Mediated Malignant Cell Transformation. </w:t>
      </w:r>
      <w:r w:rsidRPr="00CF2323">
        <w:rPr>
          <w:i/>
        </w:rPr>
        <w:t>Proceedings of the Society for Experimental Biology and Medicine,</w:t>
      </w:r>
      <w:r w:rsidRPr="00CF2323">
        <w:t xml:space="preserve"> 214</w:t>
      </w:r>
      <w:r w:rsidRPr="00CF2323">
        <w:rPr>
          <w:b/>
        </w:rPr>
        <w:t>,</w:t>
      </w:r>
      <w:r w:rsidRPr="00CF2323">
        <w:t xml:space="preserve"> 359-366.</w:t>
      </w:r>
    </w:p>
    <w:p w14:paraId="05ADC1AC" w14:textId="77777777" w:rsidR="00C85902" w:rsidRPr="00CF2323" w:rsidRDefault="00C85902" w:rsidP="00CF2323">
      <w:pPr>
        <w:pStyle w:val="EndNoteBibliography"/>
        <w:spacing w:after="0"/>
        <w:ind w:left="720" w:hanging="720"/>
      </w:pPr>
      <w:r w:rsidRPr="00F56657">
        <w:rPr>
          <w:lang w:val="en-GB"/>
        </w:rPr>
        <w:t xml:space="preserve">ZHANG, G., WANG, J., KELLY, J., GU, G., HOU, J., ZHOU, Y., REDMOND, H. P., WANG, J. H. &amp; ZHANG, X. 2010. </w:t>
      </w:r>
      <w:r w:rsidRPr="00CF2323">
        <w:t xml:space="preserve">B7-H3 augments the inflammatory response and is associated with human sepsis. </w:t>
      </w:r>
      <w:r w:rsidRPr="00CF2323">
        <w:rPr>
          <w:i/>
        </w:rPr>
        <w:t>The Journal of Immunology,</w:t>
      </w:r>
      <w:r w:rsidRPr="00CF2323">
        <w:t xml:space="preserve"> 185</w:t>
      </w:r>
      <w:r w:rsidRPr="00CF2323">
        <w:rPr>
          <w:b/>
        </w:rPr>
        <w:t>,</w:t>
      </w:r>
      <w:r w:rsidRPr="00CF2323">
        <w:t xml:space="preserve"> 3677-3684.</w:t>
      </w:r>
    </w:p>
    <w:p w14:paraId="75EB9469" w14:textId="77777777" w:rsidR="00C85902" w:rsidRPr="00CF2323" w:rsidRDefault="00C85902" w:rsidP="00CF2323">
      <w:pPr>
        <w:pStyle w:val="EndNoteBibliography"/>
        <w:spacing w:after="0"/>
        <w:ind w:left="720" w:hanging="720"/>
      </w:pPr>
      <w:r w:rsidRPr="00CF2323">
        <w:t xml:space="preserve">ZHANG, S., TSAI, S. &amp; LO, S.-C. 2006. Alteration of gene expression profiles during mycoplasma-induced malignant cell transformation. </w:t>
      </w:r>
      <w:r w:rsidRPr="00CF2323">
        <w:rPr>
          <w:i/>
        </w:rPr>
        <w:t>BMC Cancer,</w:t>
      </w:r>
      <w:r w:rsidRPr="00CF2323">
        <w:t xml:space="preserve"> 6</w:t>
      </w:r>
      <w:r w:rsidRPr="00CF2323">
        <w:rPr>
          <w:b/>
        </w:rPr>
        <w:t>,</w:t>
      </w:r>
      <w:r w:rsidRPr="00CF2323">
        <w:t xml:space="preserve"> 116.</w:t>
      </w:r>
    </w:p>
    <w:p w14:paraId="69A9716F" w14:textId="77777777" w:rsidR="00C85902" w:rsidRPr="00CF2323" w:rsidRDefault="00C85902" w:rsidP="00CF2323">
      <w:pPr>
        <w:pStyle w:val="EndNoteBibliography"/>
        <w:spacing w:after="0"/>
        <w:ind w:left="720" w:hanging="720"/>
      </w:pPr>
      <w:r w:rsidRPr="00CF2323">
        <w:t xml:space="preserve">ZHANG, S., TSAI, S., WU, T. T., LI, B., SHIH, J. W. K. &amp; LO, S.-C. 2004. Mycoplasma fermentans infection promotes immortalization of human peripheral blood mononuclear cells in culture. </w:t>
      </w:r>
      <w:r w:rsidRPr="00CF2323">
        <w:rPr>
          <w:i/>
        </w:rPr>
        <w:t>Blood,</w:t>
      </w:r>
      <w:r w:rsidRPr="00CF2323">
        <w:t xml:space="preserve"> 104</w:t>
      </w:r>
      <w:r w:rsidRPr="00CF2323">
        <w:rPr>
          <w:b/>
        </w:rPr>
        <w:t>,</w:t>
      </w:r>
      <w:r w:rsidRPr="00CF2323">
        <w:t xml:space="preserve"> 4252-4259.</w:t>
      </w:r>
    </w:p>
    <w:p w14:paraId="2471A1BE" w14:textId="77777777" w:rsidR="00C85902" w:rsidRPr="00BB55EF" w:rsidRDefault="00C85902" w:rsidP="00CF2323">
      <w:pPr>
        <w:pStyle w:val="EndNoteBibliography"/>
        <w:ind w:left="720" w:hanging="720"/>
        <w:rPr>
          <w:lang w:val="de-DE"/>
        </w:rPr>
      </w:pPr>
      <w:r w:rsidRPr="00CF2323">
        <w:t xml:space="preserve">ZHANG, S., WEAR, D. J. &amp; LO, S.-C. 2000. Mycoplasmal infections alter gene expression in cultured human prostatic and cervical epithelial cells. </w:t>
      </w:r>
      <w:r w:rsidRPr="00BB55EF">
        <w:rPr>
          <w:i/>
          <w:lang w:val="de-DE"/>
        </w:rPr>
        <w:t>FEMS Immunology &amp; Medical Microbiology,</w:t>
      </w:r>
      <w:r w:rsidRPr="00BB55EF">
        <w:rPr>
          <w:lang w:val="de-DE"/>
        </w:rPr>
        <w:t xml:space="preserve"> 27</w:t>
      </w:r>
      <w:r w:rsidRPr="00BB55EF">
        <w:rPr>
          <w:b/>
          <w:lang w:val="de-DE"/>
        </w:rPr>
        <w:t>,</w:t>
      </w:r>
      <w:r w:rsidRPr="00BB55EF">
        <w:rPr>
          <w:lang w:val="de-DE"/>
        </w:rPr>
        <w:t xml:space="preserve"> 43-50.</w:t>
      </w:r>
    </w:p>
    <w:p w14:paraId="3656B783" w14:textId="77777777" w:rsidR="00C85902" w:rsidRPr="009F1187" w:rsidRDefault="00C85902" w:rsidP="001B35D4">
      <w:pPr>
        <w:pStyle w:val="KeinLeerraum"/>
      </w:pPr>
    </w:p>
    <w:p w14:paraId="37CAECFD" w14:textId="77777777" w:rsidR="00C85902" w:rsidRPr="009F1187" w:rsidRDefault="00C85902" w:rsidP="00623985">
      <w:pPr>
        <w:pStyle w:val="KeinLeerraum"/>
        <w:tabs>
          <w:tab w:val="left" w:pos="567"/>
        </w:tabs>
        <w:rPr>
          <w:rFonts w:cs="Arial"/>
          <w:szCs w:val="24"/>
        </w:rPr>
      </w:pPr>
    </w:p>
    <w:p w14:paraId="7EF27BED" w14:textId="77777777" w:rsidR="00C85902" w:rsidRPr="00F26FDD" w:rsidRDefault="00C85902" w:rsidP="00423317">
      <w:pPr>
        <w:pStyle w:val="KeinLeerraum"/>
        <w:rPr>
          <w:rFonts w:cs="Arial"/>
          <w:b/>
          <w:szCs w:val="24"/>
        </w:rPr>
      </w:pPr>
      <w:r w:rsidRPr="00F26FDD">
        <w:rPr>
          <w:rFonts w:cs="Arial"/>
          <w:b/>
          <w:szCs w:val="24"/>
        </w:rPr>
        <w:t>Bücher:</w:t>
      </w:r>
    </w:p>
    <w:p w14:paraId="37892105" w14:textId="77777777" w:rsidR="00C85902" w:rsidRPr="00F26FDD" w:rsidRDefault="00C85902" w:rsidP="00423317">
      <w:pPr>
        <w:pStyle w:val="KeinLeerraum"/>
        <w:rPr>
          <w:rFonts w:cs="Arial"/>
          <w:szCs w:val="24"/>
        </w:rPr>
      </w:pPr>
    </w:p>
    <w:p w14:paraId="22C48247" w14:textId="77777777" w:rsidR="00C85902" w:rsidRDefault="00C85902" w:rsidP="0086671F">
      <w:pPr>
        <w:pStyle w:val="Literaturverzeichnis"/>
        <w:ind w:left="720" w:hanging="720"/>
        <w:rPr>
          <w:noProof/>
          <w:szCs w:val="24"/>
        </w:rPr>
      </w:pPr>
      <w:r>
        <w:rPr>
          <w:rFonts w:cs="Arial"/>
          <w:szCs w:val="24"/>
        </w:rPr>
        <w:fldChar w:fldCharType="begin"/>
      </w:r>
      <w:r>
        <w:rPr>
          <w:rFonts w:cs="Arial"/>
          <w:szCs w:val="24"/>
        </w:rPr>
        <w:instrText xml:space="preserve"> BIBLIOGRAPHY  \l 1031 </w:instrText>
      </w:r>
      <w:r>
        <w:rPr>
          <w:rFonts w:cs="Arial"/>
          <w:szCs w:val="24"/>
        </w:rPr>
        <w:fldChar w:fldCharType="separate"/>
      </w:r>
      <w:r>
        <w:rPr>
          <w:noProof/>
        </w:rPr>
        <w:t xml:space="preserve">Lüllmann-Rauch. (2015). </w:t>
      </w:r>
      <w:r>
        <w:rPr>
          <w:i/>
          <w:iCs/>
          <w:noProof/>
        </w:rPr>
        <w:t>Taschenlehrbuch Histologie.</w:t>
      </w:r>
      <w:r>
        <w:rPr>
          <w:noProof/>
        </w:rPr>
        <w:t xml:space="preserve"> Stuttgart: Thieme.</w:t>
      </w:r>
    </w:p>
    <w:p w14:paraId="67C69FE1" w14:textId="77777777" w:rsidR="00C85902" w:rsidRPr="00C761B7" w:rsidRDefault="00C85902" w:rsidP="0086671F">
      <w:pPr>
        <w:pStyle w:val="KeinLeerraum"/>
      </w:pPr>
      <w:r>
        <w:rPr>
          <w:rFonts w:cs="Arial"/>
          <w:szCs w:val="24"/>
        </w:rPr>
        <w:fldChar w:fldCharType="end"/>
      </w:r>
    </w:p>
    <w:p w14:paraId="49F05C85" w14:textId="77777777" w:rsidR="00C85902" w:rsidRPr="00F720CB" w:rsidRDefault="00C85902">
      <w:pPr>
        <w:rPr>
          <w:rFonts w:cs="Arial"/>
          <w:szCs w:val="24"/>
        </w:rPr>
      </w:pPr>
      <w:r w:rsidRPr="00F720CB">
        <w:rPr>
          <w:rFonts w:cs="Arial"/>
          <w:szCs w:val="24"/>
        </w:rPr>
        <w:br w:type="page"/>
      </w:r>
    </w:p>
    <w:p w14:paraId="251A35BB" w14:textId="77777777" w:rsidR="00C85902" w:rsidRPr="00F7296B" w:rsidRDefault="00C85902" w:rsidP="00B26B32">
      <w:pPr>
        <w:pStyle w:val="berschrift1"/>
      </w:pPr>
      <w:bookmarkStart w:id="229" w:name="_Toc121158697"/>
      <w:r w:rsidRPr="00F7296B">
        <w:t>Erklärung zum Eigenantei</w:t>
      </w:r>
      <w:r>
        <w:t>l</w:t>
      </w:r>
      <w:bookmarkEnd w:id="229"/>
    </w:p>
    <w:p w14:paraId="798C117C" w14:textId="77777777" w:rsidR="00C85902" w:rsidRDefault="00C85902" w:rsidP="00425DB9">
      <w:pPr>
        <w:spacing w:after="0" w:line="240" w:lineRule="auto"/>
        <w:jc w:val="both"/>
        <w:rPr>
          <w:rFonts w:eastAsia="Times New Roman" w:cs="Arial"/>
          <w:szCs w:val="24"/>
          <w:lang w:eastAsia="de-DE"/>
        </w:rPr>
      </w:pPr>
    </w:p>
    <w:p w14:paraId="0D87B7FD" w14:textId="77777777" w:rsidR="00C85902" w:rsidRPr="00F720CB" w:rsidRDefault="00C85902" w:rsidP="00425DB9">
      <w:pPr>
        <w:spacing w:after="0" w:line="240" w:lineRule="auto"/>
        <w:jc w:val="both"/>
        <w:rPr>
          <w:rFonts w:eastAsia="Times New Roman" w:cs="Arial"/>
          <w:szCs w:val="24"/>
          <w:lang w:eastAsia="de-DE"/>
        </w:rPr>
      </w:pPr>
      <w:r w:rsidRPr="00F720CB">
        <w:rPr>
          <w:rFonts w:eastAsia="Times New Roman" w:cs="Arial"/>
          <w:szCs w:val="24"/>
          <w:lang w:eastAsia="de-DE"/>
        </w:rPr>
        <w:t>Die Arbeit wurde i</w:t>
      </w:r>
      <w:r>
        <w:rPr>
          <w:rFonts w:eastAsia="Times New Roman" w:cs="Arial"/>
          <w:szCs w:val="24"/>
          <w:lang w:eastAsia="de-DE"/>
        </w:rPr>
        <w:t xml:space="preserve">m Forschungslabor der </w:t>
      </w:r>
      <w:r w:rsidRPr="00F720CB">
        <w:rPr>
          <w:rFonts w:eastAsia="Times New Roman" w:cs="Arial"/>
          <w:szCs w:val="24"/>
          <w:lang w:eastAsia="de-DE"/>
        </w:rPr>
        <w:t xml:space="preserve">Klinik </w:t>
      </w:r>
      <w:r>
        <w:rPr>
          <w:rFonts w:eastAsia="Times New Roman" w:cs="Arial"/>
          <w:szCs w:val="24"/>
          <w:lang w:eastAsia="de-DE"/>
        </w:rPr>
        <w:t xml:space="preserve">für Urologie im Zentrum Medizinische Forschung </w:t>
      </w:r>
      <w:r w:rsidRPr="00F720CB">
        <w:rPr>
          <w:rFonts w:eastAsia="Times New Roman" w:cs="Arial"/>
          <w:szCs w:val="24"/>
          <w:lang w:eastAsia="de-DE"/>
        </w:rPr>
        <w:t>unter Betreuung von</w:t>
      </w:r>
      <w:r>
        <w:rPr>
          <w:rFonts w:eastAsia="Times New Roman" w:cs="Arial"/>
          <w:szCs w:val="24"/>
          <w:lang w:eastAsia="de-DE"/>
        </w:rPr>
        <w:t xml:space="preserve"> Prof. Dr. rer. nat. Wilhelm K. Aicher </w:t>
      </w:r>
      <w:r w:rsidRPr="00F720CB">
        <w:rPr>
          <w:rFonts w:eastAsia="Times New Roman" w:cs="Arial"/>
          <w:szCs w:val="24"/>
          <w:lang w:eastAsia="de-DE"/>
        </w:rPr>
        <w:t>durchgeführt.</w:t>
      </w:r>
    </w:p>
    <w:p w14:paraId="2AAA14CA" w14:textId="77777777" w:rsidR="00C85902" w:rsidRDefault="00C85902" w:rsidP="00425DB9">
      <w:pPr>
        <w:spacing w:after="0" w:line="240" w:lineRule="auto"/>
        <w:jc w:val="both"/>
        <w:rPr>
          <w:rFonts w:eastAsia="Times New Roman" w:cs="Arial"/>
          <w:szCs w:val="24"/>
          <w:lang w:eastAsia="de-DE"/>
        </w:rPr>
      </w:pPr>
    </w:p>
    <w:p w14:paraId="59EC65D8" w14:textId="74B343A6" w:rsidR="00C85902" w:rsidRPr="00F720CB" w:rsidRDefault="00C85902" w:rsidP="00425DB9">
      <w:pPr>
        <w:spacing w:after="0" w:line="240" w:lineRule="auto"/>
        <w:jc w:val="both"/>
        <w:rPr>
          <w:rFonts w:eastAsia="Times New Roman" w:cs="Arial"/>
          <w:color w:val="2F5496" w:themeColor="accent1" w:themeShade="BF"/>
          <w:szCs w:val="24"/>
          <w:lang w:eastAsia="de-DE"/>
        </w:rPr>
      </w:pPr>
      <w:r>
        <w:rPr>
          <w:rFonts w:eastAsia="Times New Roman" w:cs="Arial"/>
          <w:szCs w:val="24"/>
          <w:lang w:eastAsia="de-DE"/>
        </w:rPr>
        <w:t xml:space="preserve">Die </w:t>
      </w:r>
      <w:r w:rsidRPr="00F720CB">
        <w:rPr>
          <w:rFonts w:eastAsia="Times New Roman" w:cs="Arial"/>
          <w:szCs w:val="24"/>
          <w:lang w:eastAsia="de-DE"/>
        </w:rPr>
        <w:t>Versuche wurden</w:t>
      </w:r>
      <w:r>
        <w:rPr>
          <w:rFonts w:eastAsia="Times New Roman" w:cs="Arial"/>
          <w:szCs w:val="24"/>
          <w:lang w:eastAsia="de-DE"/>
        </w:rPr>
        <w:t xml:space="preserve"> </w:t>
      </w:r>
      <w:r w:rsidRPr="00B26B32">
        <w:rPr>
          <w:rFonts w:eastAsia="Times New Roman" w:cs="Arial"/>
          <w:color w:val="000000" w:themeColor="text1"/>
          <w:szCs w:val="24"/>
          <w:lang w:eastAsia="de-DE"/>
        </w:rPr>
        <w:t xml:space="preserve">nach Einarbeitung durch </w:t>
      </w:r>
      <w:r>
        <w:rPr>
          <w:rFonts w:eastAsia="Times New Roman" w:cs="Arial"/>
          <w:color w:val="000000" w:themeColor="text1"/>
          <w:szCs w:val="24"/>
          <w:lang w:eastAsia="de-DE"/>
        </w:rPr>
        <w:t>techn</w:t>
      </w:r>
      <w:r w:rsidR="002F4DCE">
        <w:rPr>
          <w:rFonts w:eastAsia="Times New Roman" w:cs="Arial"/>
          <w:color w:val="000000" w:themeColor="text1"/>
          <w:szCs w:val="24"/>
          <w:lang w:eastAsia="de-DE"/>
        </w:rPr>
        <w:t>.</w:t>
      </w:r>
      <w:r>
        <w:rPr>
          <w:rFonts w:eastAsia="Times New Roman" w:cs="Arial"/>
          <w:color w:val="000000" w:themeColor="text1"/>
          <w:szCs w:val="24"/>
          <w:lang w:eastAsia="de-DE"/>
        </w:rPr>
        <w:t xml:space="preserve"> Assistentinnen im Labor Tanja Abruzzese und Cornelia Bock</w:t>
      </w:r>
      <w:r w:rsidRPr="00F720CB">
        <w:rPr>
          <w:rFonts w:eastAsia="Times New Roman" w:cs="Arial"/>
          <w:color w:val="2F5496" w:themeColor="accent1" w:themeShade="BF"/>
          <w:szCs w:val="24"/>
          <w:lang w:eastAsia="de-DE"/>
        </w:rPr>
        <w:t xml:space="preserve"> </w:t>
      </w:r>
      <w:r w:rsidRPr="00F720CB">
        <w:rPr>
          <w:rFonts w:eastAsia="Times New Roman" w:cs="Arial"/>
          <w:szCs w:val="24"/>
          <w:lang w:eastAsia="de-DE"/>
        </w:rPr>
        <w:t xml:space="preserve">von mir </w:t>
      </w:r>
      <w:r w:rsidRPr="00B26B32">
        <w:rPr>
          <w:rFonts w:eastAsia="Times New Roman" w:cs="Arial"/>
          <w:color w:val="000000" w:themeColor="text1"/>
          <w:szCs w:val="24"/>
          <w:lang w:eastAsia="de-DE"/>
        </w:rPr>
        <w:t xml:space="preserve">eigenständig </w:t>
      </w:r>
      <w:r w:rsidRPr="00F720CB">
        <w:rPr>
          <w:rFonts w:eastAsia="Times New Roman" w:cs="Arial"/>
          <w:szCs w:val="24"/>
          <w:lang w:eastAsia="de-DE"/>
        </w:rPr>
        <w:t>durchgeführt.</w:t>
      </w:r>
      <w:r w:rsidRPr="00F720CB">
        <w:rPr>
          <w:rFonts w:eastAsia="Times New Roman" w:cs="Arial"/>
          <w:color w:val="2F5496" w:themeColor="accent1" w:themeShade="BF"/>
          <w:szCs w:val="24"/>
          <w:lang w:eastAsia="de-DE"/>
        </w:rPr>
        <w:t xml:space="preserve"> </w:t>
      </w:r>
    </w:p>
    <w:p w14:paraId="5D0BEEDA" w14:textId="77777777" w:rsidR="00C85902" w:rsidRPr="00F720CB" w:rsidRDefault="00C85902" w:rsidP="00425DB9">
      <w:pPr>
        <w:spacing w:after="0" w:line="240" w:lineRule="auto"/>
        <w:jc w:val="both"/>
        <w:rPr>
          <w:rFonts w:eastAsia="Times New Roman" w:cs="Arial"/>
          <w:szCs w:val="24"/>
          <w:lang w:eastAsia="de-DE"/>
        </w:rPr>
      </w:pPr>
    </w:p>
    <w:p w14:paraId="2DD703CD" w14:textId="77777777" w:rsidR="00C85902" w:rsidRPr="00F720CB" w:rsidRDefault="00C85902" w:rsidP="00425DB9">
      <w:pPr>
        <w:spacing w:after="0" w:line="240" w:lineRule="auto"/>
        <w:jc w:val="both"/>
        <w:rPr>
          <w:rFonts w:eastAsia="Times New Roman" w:cs="Arial"/>
          <w:szCs w:val="24"/>
          <w:lang w:eastAsia="de-DE"/>
        </w:rPr>
      </w:pPr>
      <w:r w:rsidRPr="00F720CB">
        <w:rPr>
          <w:rFonts w:eastAsia="Times New Roman" w:cs="Arial"/>
          <w:szCs w:val="24"/>
          <w:lang w:eastAsia="de-DE"/>
        </w:rPr>
        <w:t xml:space="preserve">Die statistische Auswertung erfolgte </w:t>
      </w:r>
      <w:r w:rsidRPr="00371F13">
        <w:rPr>
          <w:rFonts w:eastAsia="Times New Roman" w:cs="Arial"/>
          <w:szCs w:val="24"/>
          <w:lang w:eastAsia="de-DE"/>
        </w:rPr>
        <w:t xml:space="preserve">eigenständig </w:t>
      </w:r>
      <w:r w:rsidRPr="00F720CB">
        <w:rPr>
          <w:rFonts w:eastAsia="Times New Roman" w:cs="Arial"/>
          <w:szCs w:val="24"/>
          <w:lang w:eastAsia="de-DE"/>
        </w:rPr>
        <w:t xml:space="preserve">durch mich. </w:t>
      </w:r>
    </w:p>
    <w:p w14:paraId="2CB9AAD0" w14:textId="77777777" w:rsidR="00C85902" w:rsidRPr="00F720CB" w:rsidRDefault="00C85902" w:rsidP="00425DB9">
      <w:pPr>
        <w:spacing w:after="0" w:line="240" w:lineRule="auto"/>
        <w:jc w:val="both"/>
        <w:rPr>
          <w:rFonts w:eastAsia="Times New Roman" w:cs="Arial"/>
          <w:szCs w:val="24"/>
          <w:lang w:eastAsia="de-DE"/>
        </w:rPr>
      </w:pPr>
    </w:p>
    <w:p w14:paraId="69DAB125" w14:textId="77777777" w:rsidR="00C85902" w:rsidRPr="00F720CB" w:rsidRDefault="00C85902" w:rsidP="00425DB9">
      <w:pPr>
        <w:spacing w:after="0" w:line="240" w:lineRule="auto"/>
        <w:jc w:val="both"/>
        <w:rPr>
          <w:rFonts w:eastAsia="Times New Roman" w:cs="Arial"/>
          <w:szCs w:val="24"/>
          <w:lang w:eastAsia="de-DE"/>
        </w:rPr>
      </w:pPr>
      <w:r w:rsidRPr="00F720CB">
        <w:rPr>
          <w:rFonts w:eastAsia="Times New Roman" w:cs="Arial"/>
          <w:szCs w:val="24"/>
          <w:lang w:eastAsia="de-DE"/>
        </w:rPr>
        <w:t>Ich versichere, das Manuskript selbständig</w:t>
      </w:r>
      <w:r>
        <w:rPr>
          <w:rFonts w:eastAsia="Times New Roman" w:cs="Arial"/>
          <w:color w:val="2F5496" w:themeColor="accent1" w:themeShade="BF"/>
          <w:szCs w:val="24"/>
          <w:lang w:eastAsia="de-DE"/>
        </w:rPr>
        <w:t xml:space="preserve"> </w:t>
      </w:r>
      <w:r w:rsidRPr="00F720CB">
        <w:rPr>
          <w:rFonts w:eastAsia="Times New Roman" w:cs="Arial"/>
          <w:szCs w:val="24"/>
          <w:lang w:eastAsia="de-DE"/>
        </w:rPr>
        <w:t xml:space="preserve">verfasst zu haben und keine weiteren als die von mir angegebenen Quellen verwendet zu haben. </w:t>
      </w:r>
    </w:p>
    <w:p w14:paraId="05CAD281" w14:textId="77777777" w:rsidR="00C85902" w:rsidRPr="00F720CB" w:rsidRDefault="00C85902" w:rsidP="00425DB9">
      <w:pPr>
        <w:spacing w:after="0" w:line="240" w:lineRule="auto"/>
        <w:jc w:val="both"/>
        <w:rPr>
          <w:rFonts w:eastAsia="Times New Roman" w:cs="Arial"/>
          <w:szCs w:val="24"/>
          <w:lang w:eastAsia="de-DE"/>
        </w:rPr>
      </w:pPr>
    </w:p>
    <w:p w14:paraId="50FA4E38" w14:textId="77777777" w:rsidR="00C85902" w:rsidRPr="00F720CB" w:rsidRDefault="00C85902" w:rsidP="006914D2">
      <w:pPr>
        <w:spacing w:after="0" w:line="240" w:lineRule="auto"/>
        <w:rPr>
          <w:rFonts w:eastAsia="Times New Roman" w:cs="Arial"/>
          <w:szCs w:val="24"/>
          <w:lang w:eastAsia="de-DE"/>
        </w:rPr>
      </w:pPr>
    </w:p>
    <w:p w14:paraId="2D978C64" w14:textId="77777777" w:rsidR="00C85902" w:rsidRDefault="00C85902" w:rsidP="006914D2">
      <w:pPr>
        <w:spacing w:after="0" w:line="240" w:lineRule="auto"/>
        <w:rPr>
          <w:rFonts w:eastAsia="Times New Roman" w:cs="Arial"/>
          <w:szCs w:val="24"/>
          <w:lang w:eastAsia="de-DE"/>
        </w:rPr>
      </w:pPr>
    </w:p>
    <w:p w14:paraId="29F1AE33" w14:textId="77777777" w:rsidR="00C85902" w:rsidRDefault="00C85902" w:rsidP="006914D2">
      <w:pPr>
        <w:spacing w:after="0" w:line="240" w:lineRule="auto"/>
        <w:rPr>
          <w:rFonts w:eastAsia="Times New Roman" w:cs="Arial"/>
          <w:szCs w:val="24"/>
          <w:lang w:eastAsia="de-DE"/>
        </w:rPr>
      </w:pPr>
    </w:p>
    <w:p w14:paraId="37B49426" w14:textId="77777777" w:rsidR="00C85902" w:rsidRDefault="00C85902" w:rsidP="006914D2">
      <w:pPr>
        <w:spacing w:after="0" w:line="240" w:lineRule="auto"/>
        <w:rPr>
          <w:rFonts w:eastAsia="Times New Roman" w:cs="Arial"/>
          <w:szCs w:val="24"/>
          <w:lang w:eastAsia="de-DE"/>
        </w:rPr>
      </w:pPr>
    </w:p>
    <w:p w14:paraId="25A4436F" w14:textId="77777777" w:rsidR="00C85902" w:rsidRDefault="00C85902" w:rsidP="006914D2">
      <w:pPr>
        <w:spacing w:after="0" w:line="240" w:lineRule="auto"/>
        <w:rPr>
          <w:rFonts w:eastAsia="Times New Roman" w:cs="Arial"/>
          <w:szCs w:val="24"/>
          <w:lang w:eastAsia="de-DE"/>
        </w:rPr>
      </w:pPr>
    </w:p>
    <w:p w14:paraId="29BBB3B2" w14:textId="77777777" w:rsidR="00C85902" w:rsidRDefault="00C85902" w:rsidP="006914D2">
      <w:pPr>
        <w:spacing w:after="0" w:line="240" w:lineRule="auto"/>
        <w:rPr>
          <w:rFonts w:eastAsia="Times New Roman" w:cs="Arial"/>
          <w:szCs w:val="24"/>
          <w:lang w:eastAsia="de-DE"/>
        </w:rPr>
      </w:pPr>
    </w:p>
    <w:p w14:paraId="20E97A40" w14:textId="77777777" w:rsidR="00C85902" w:rsidRPr="00F720CB" w:rsidRDefault="00C85902" w:rsidP="006914D2">
      <w:pPr>
        <w:spacing w:after="0" w:line="240" w:lineRule="auto"/>
        <w:rPr>
          <w:rFonts w:eastAsia="Times New Roman" w:cs="Arial"/>
          <w:szCs w:val="24"/>
          <w:lang w:eastAsia="de-DE"/>
        </w:rPr>
      </w:pPr>
    </w:p>
    <w:p w14:paraId="3803A0C6" w14:textId="77777777" w:rsidR="00C85902" w:rsidRPr="00F720CB" w:rsidRDefault="00C85902" w:rsidP="006914D2">
      <w:pPr>
        <w:spacing w:after="0" w:line="240" w:lineRule="auto"/>
        <w:rPr>
          <w:rFonts w:eastAsia="Times New Roman" w:cs="Arial"/>
          <w:szCs w:val="24"/>
          <w:lang w:eastAsia="de-DE"/>
        </w:rPr>
      </w:pPr>
    </w:p>
    <w:p w14:paraId="7E3B9641" w14:textId="77777777" w:rsidR="00C85902" w:rsidRPr="00F720CB" w:rsidRDefault="00C85902" w:rsidP="006914D2">
      <w:pPr>
        <w:spacing w:after="0" w:line="240" w:lineRule="auto"/>
        <w:rPr>
          <w:rFonts w:eastAsia="Times New Roman" w:cs="Arial"/>
          <w:szCs w:val="24"/>
          <w:lang w:eastAsia="de-DE"/>
        </w:rPr>
      </w:pPr>
    </w:p>
    <w:p w14:paraId="4F004302" w14:textId="77777777" w:rsidR="00C85902" w:rsidRPr="00F720CB" w:rsidRDefault="00C85902" w:rsidP="006914D2">
      <w:pPr>
        <w:spacing w:after="0" w:line="240" w:lineRule="auto"/>
        <w:rPr>
          <w:rFonts w:eastAsia="Times New Roman" w:cs="Arial"/>
          <w:szCs w:val="24"/>
          <w:lang w:eastAsia="de-DE"/>
        </w:rPr>
      </w:pPr>
      <w:r w:rsidRPr="00F720CB">
        <w:rPr>
          <w:rFonts w:eastAsia="Times New Roman" w:cs="Arial"/>
          <w:szCs w:val="24"/>
          <w:lang w:eastAsia="de-DE"/>
        </w:rPr>
        <w:t xml:space="preserve">Tübingen, den </w:t>
      </w:r>
      <w:r>
        <w:rPr>
          <w:rFonts w:eastAsia="Times New Roman" w:cs="Arial"/>
          <w:szCs w:val="24"/>
          <w:lang w:eastAsia="de-DE"/>
        </w:rPr>
        <w:t>27.11.2022</w:t>
      </w:r>
    </w:p>
    <w:p w14:paraId="58178642" w14:textId="77777777" w:rsidR="00C85902" w:rsidRPr="00F720CB" w:rsidRDefault="00C85902" w:rsidP="006914D2">
      <w:pPr>
        <w:spacing w:after="0" w:line="240" w:lineRule="auto"/>
        <w:rPr>
          <w:rFonts w:eastAsia="Times New Roman" w:cs="Arial"/>
          <w:szCs w:val="24"/>
          <w:lang w:eastAsia="de-DE"/>
        </w:rPr>
      </w:pPr>
    </w:p>
    <w:p w14:paraId="19866659" w14:textId="77777777" w:rsidR="00C85902" w:rsidRPr="00F720CB" w:rsidRDefault="00C85902" w:rsidP="006914D2">
      <w:pPr>
        <w:spacing w:after="0" w:line="240" w:lineRule="auto"/>
        <w:rPr>
          <w:rFonts w:eastAsia="Times New Roman" w:cs="Arial"/>
          <w:szCs w:val="24"/>
          <w:lang w:eastAsia="de-DE"/>
        </w:rPr>
      </w:pPr>
    </w:p>
    <w:p w14:paraId="40089F1A" w14:textId="77777777" w:rsidR="00660F2C" w:rsidRDefault="00660F2C" w:rsidP="006914D2">
      <w:pPr>
        <w:spacing w:after="0" w:line="240" w:lineRule="auto"/>
        <w:rPr>
          <w:rFonts w:eastAsia="Times New Roman" w:cs="Arial"/>
          <w:szCs w:val="24"/>
          <w:lang w:eastAsia="de-DE"/>
        </w:rPr>
      </w:pPr>
    </w:p>
    <w:p w14:paraId="3352A950" w14:textId="77777777" w:rsidR="00660F2C" w:rsidRDefault="00660F2C" w:rsidP="006914D2">
      <w:pPr>
        <w:spacing w:after="0" w:line="240" w:lineRule="auto"/>
        <w:rPr>
          <w:rFonts w:eastAsia="Times New Roman" w:cs="Arial"/>
          <w:szCs w:val="24"/>
          <w:lang w:eastAsia="de-DE"/>
        </w:rPr>
      </w:pPr>
    </w:p>
    <w:p w14:paraId="54112C0A" w14:textId="25CC8D3A" w:rsidR="00C85902" w:rsidRDefault="00C85902" w:rsidP="006914D2">
      <w:pPr>
        <w:spacing w:after="0" w:line="240" w:lineRule="auto"/>
        <w:rPr>
          <w:rFonts w:eastAsia="Times New Roman" w:cs="Arial"/>
          <w:szCs w:val="24"/>
          <w:lang w:eastAsia="de-DE"/>
        </w:rPr>
      </w:pPr>
      <w:r w:rsidRPr="00F720CB">
        <w:rPr>
          <w:rFonts w:eastAsia="Times New Roman" w:cs="Arial"/>
          <w:szCs w:val="24"/>
          <w:lang w:eastAsia="de-DE"/>
        </w:rPr>
        <w:t xml:space="preserve"> </w:t>
      </w:r>
    </w:p>
    <w:p w14:paraId="31D34EF4" w14:textId="77777777" w:rsidR="00C85902" w:rsidRDefault="00C85902" w:rsidP="006914D2">
      <w:pPr>
        <w:pStyle w:val="KeinLeerraum"/>
        <w:rPr>
          <w:rFonts w:cs="Arial"/>
          <w:szCs w:val="24"/>
        </w:rPr>
      </w:pPr>
    </w:p>
    <w:p w14:paraId="1288BFE2" w14:textId="77777777" w:rsidR="00C85902" w:rsidRDefault="00C85902" w:rsidP="006914D2">
      <w:pPr>
        <w:pStyle w:val="KeinLeerraum"/>
        <w:rPr>
          <w:rFonts w:cs="Arial"/>
          <w:szCs w:val="24"/>
        </w:rPr>
      </w:pPr>
    </w:p>
    <w:p w14:paraId="23360164" w14:textId="77777777" w:rsidR="00C85902" w:rsidRDefault="00C85902" w:rsidP="006914D2">
      <w:pPr>
        <w:pStyle w:val="KeinLeerraum"/>
        <w:rPr>
          <w:rFonts w:cs="Arial"/>
          <w:szCs w:val="24"/>
        </w:rPr>
      </w:pPr>
    </w:p>
    <w:p w14:paraId="69E02D52" w14:textId="77777777" w:rsidR="00C85902" w:rsidRDefault="00C85902" w:rsidP="006914D2">
      <w:pPr>
        <w:pStyle w:val="KeinLeerraum"/>
        <w:rPr>
          <w:rFonts w:cs="Arial"/>
          <w:szCs w:val="24"/>
        </w:rPr>
      </w:pPr>
    </w:p>
    <w:p w14:paraId="58379461" w14:textId="77777777" w:rsidR="00C85902" w:rsidRDefault="00C85902" w:rsidP="006914D2">
      <w:pPr>
        <w:pStyle w:val="KeinLeerraum"/>
        <w:rPr>
          <w:rFonts w:cs="Arial"/>
          <w:szCs w:val="24"/>
        </w:rPr>
      </w:pPr>
    </w:p>
    <w:p w14:paraId="67443529" w14:textId="77777777" w:rsidR="00C85902" w:rsidRDefault="00C85902" w:rsidP="006914D2">
      <w:pPr>
        <w:pStyle w:val="KeinLeerraum"/>
        <w:rPr>
          <w:rFonts w:cs="Arial"/>
          <w:szCs w:val="24"/>
        </w:rPr>
      </w:pPr>
    </w:p>
    <w:p w14:paraId="3EB863A0" w14:textId="77777777" w:rsidR="00C85902" w:rsidRDefault="00C85902" w:rsidP="006914D2">
      <w:pPr>
        <w:pStyle w:val="KeinLeerraum"/>
        <w:rPr>
          <w:rFonts w:cs="Arial"/>
          <w:szCs w:val="24"/>
        </w:rPr>
      </w:pPr>
    </w:p>
    <w:p w14:paraId="42D2C306" w14:textId="77777777" w:rsidR="00C85902" w:rsidRDefault="00C85902" w:rsidP="006914D2">
      <w:pPr>
        <w:pStyle w:val="KeinLeerraum"/>
        <w:rPr>
          <w:rFonts w:cs="Arial"/>
          <w:szCs w:val="24"/>
        </w:rPr>
      </w:pPr>
    </w:p>
    <w:p w14:paraId="2A90851D" w14:textId="77777777" w:rsidR="00C85902" w:rsidRDefault="00C85902" w:rsidP="006914D2">
      <w:pPr>
        <w:pStyle w:val="KeinLeerraum"/>
        <w:rPr>
          <w:rFonts w:cs="Arial"/>
          <w:szCs w:val="24"/>
        </w:rPr>
      </w:pPr>
    </w:p>
    <w:p w14:paraId="054F6B67" w14:textId="77777777" w:rsidR="00C85902" w:rsidRDefault="00C85902" w:rsidP="006914D2">
      <w:pPr>
        <w:pStyle w:val="KeinLeerraum"/>
        <w:rPr>
          <w:rFonts w:cs="Arial"/>
          <w:szCs w:val="24"/>
        </w:rPr>
      </w:pPr>
    </w:p>
    <w:p w14:paraId="52D7F4EE" w14:textId="77777777" w:rsidR="00C85902" w:rsidRDefault="00C85902" w:rsidP="006914D2">
      <w:pPr>
        <w:pStyle w:val="KeinLeerraum"/>
        <w:rPr>
          <w:rFonts w:cs="Arial"/>
          <w:szCs w:val="24"/>
        </w:rPr>
      </w:pPr>
    </w:p>
    <w:p w14:paraId="41DC363D" w14:textId="77777777" w:rsidR="00C85902" w:rsidRDefault="00C85902" w:rsidP="006914D2">
      <w:pPr>
        <w:pStyle w:val="KeinLeerraum"/>
        <w:rPr>
          <w:rFonts w:cs="Arial"/>
          <w:szCs w:val="24"/>
        </w:rPr>
      </w:pPr>
    </w:p>
    <w:p w14:paraId="38198B97" w14:textId="77777777" w:rsidR="00C85902" w:rsidRDefault="00C85902" w:rsidP="00B80043"/>
    <w:p w14:paraId="470CF9FE" w14:textId="77777777" w:rsidR="00C85902" w:rsidRDefault="00C85902" w:rsidP="00C761B7">
      <w:pPr>
        <w:pStyle w:val="berschrift1"/>
      </w:pPr>
      <w:bookmarkStart w:id="230" w:name="_Toc121158698"/>
      <w:r>
        <w:t>Danksagung</w:t>
      </w:r>
      <w:bookmarkEnd w:id="230"/>
      <w:r>
        <w:t xml:space="preserve"> </w:t>
      </w:r>
    </w:p>
    <w:p w14:paraId="57DF72D1" w14:textId="77777777" w:rsidR="00C85902" w:rsidRDefault="00C85902" w:rsidP="00DD6961">
      <w:r>
        <w:t xml:space="preserve">Mein besonderer Dank gebührt meinem Doktorvater Herrn Prof. Dr. rer. nat. Wilhelm K. Aicher für die Annahme als Doktorandin und die durchgehend exzellente Betreuung. </w:t>
      </w:r>
    </w:p>
    <w:p w14:paraId="3244AB32" w14:textId="77777777" w:rsidR="00C85902" w:rsidRPr="00E056A6" w:rsidRDefault="00C85902" w:rsidP="00DD6961">
      <w:r>
        <w:t>Auch</w:t>
      </w:r>
      <w:r w:rsidRPr="00E056A6">
        <w:t xml:space="preserve"> möchte ich mich </w:t>
      </w:r>
      <w:r>
        <w:t>be</w:t>
      </w:r>
      <w:r w:rsidRPr="00E056A6">
        <w:t>i</w:t>
      </w:r>
      <w:r>
        <w:t xml:space="preserve"> den</w:t>
      </w:r>
      <w:r w:rsidRPr="00E056A6">
        <w:t xml:space="preserve"> </w:t>
      </w:r>
      <w:r>
        <w:t>Mitarbeiterinnen im Labor</w:t>
      </w:r>
      <w:r w:rsidRPr="00E056A6">
        <w:t xml:space="preserve"> </w:t>
      </w:r>
      <w:r>
        <w:t xml:space="preserve">des Zentrums für medizinische Forschung im Bereich der Urologie </w:t>
      </w:r>
      <w:r w:rsidRPr="00E056A6">
        <w:t>für di</w:t>
      </w:r>
      <w:r>
        <w:t>e praktische Unterstützung bei der fachlichen Einarbeitung im Labor bedanken.</w:t>
      </w:r>
    </w:p>
    <w:p w14:paraId="0F686CE4" w14:textId="77777777" w:rsidR="00C85902" w:rsidRDefault="00C85902" w:rsidP="00DD6961">
      <w:r>
        <w:t xml:space="preserve">Ebenso bedanke ich mich bei den ärztlichen Kollegen der urologischen Abteilung der Uniklinik Tübingen für die Bereitstellung von urothelialen Gewebsproben. </w:t>
      </w:r>
    </w:p>
    <w:p w14:paraId="3426247F" w14:textId="77777777" w:rsidR="00C85902" w:rsidRDefault="00C85902" w:rsidP="00DD6961">
      <w:r>
        <w:t xml:space="preserve">An dieser Stelle möchte ich auch der Stiftung Begabtenförderung berufliche Bildung (SBB) für die Aufnahme als Stipendiatin und die damit verbundene Förderung während des Studiums danken. </w:t>
      </w:r>
    </w:p>
    <w:p w14:paraId="3652E26C" w14:textId="77777777" w:rsidR="00C85902" w:rsidRDefault="00C85902" w:rsidP="00DD6961">
      <w:r>
        <w:t>Abschließend bedanke ich mich herzlich bei meinen Freunden, meinem</w:t>
      </w:r>
      <w:r w:rsidRPr="00E1000B">
        <w:t xml:space="preserve"> </w:t>
      </w:r>
      <w:r>
        <w:t xml:space="preserve">Partner und vor allem bei meiner Familie, die mich immer unterstützt haben. </w:t>
      </w:r>
    </w:p>
    <w:p w14:paraId="24C50B40" w14:textId="77777777" w:rsidR="00C85902" w:rsidRPr="00C761B7" w:rsidRDefault="00C85902" w:rsidP="00A622DD">
      <w:pPr>
        <w:spacing w:line="259" w:lineRule="auto"/>
      </w:pPr>
    </w:p>
    <w:p w14:paraId="364D4AB3" w14:textId="77777777" w:rsidR="0068318F" w:rsidRDefault="0068318F"/>
    <w:sectPr w:rsidR="0068318F" w:rsidSect="00B76B12">
      <w:footerReference w:type="default" r:id="rId36"/>
      <w:pgSz w:w="11906" w:h="16838"/>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E4E6D" w14:textId="77777777" w:rsidR="002F5927" w:rsidRDefault="002F5927" w:rsidP="002521B9">
      <w:pPr>
        <w:spacing w:after="0" w:line="240" w:lineRule="auto"/>
      </w:pPr>
      <w:r>
        <w:separator/>
      </w:r>
    </w:p>
  </w:endnote>
  <w:endnote w:type="continuationSeparator" w:id="0">
    <w:p w14:paraId="728E5C2F" w14:textId="77777777" w:rsidR="002F5927" w:rsidRDefault="002F5927" w:rsidP="00252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1CA5A" w14:textId="77777777" w:rsidR="00BC2868" w:rsidRDefault="00BC2868">
    <w:pPr>
      <w:pStyle w:val="Fuzeile"/>
      <w:jc w:val="right"/>
    </w:pPr>
  </w:p>
  <w:p w14:paraId="678C9817" w14:textId="77777777" w:rsidR="00BC2868" w:rsidRDefault="00BC2868" w:rsidP="003B7768">
    <w:pPr>
      <w:pStyle w:val="Fuzeile"/>
      <w:tabs>
        <w:tab w:val="clear" w:pos="4536"/>
        <w:tab w:val="clear" w:pos="9072"/>
        <w:tab w:val="left" w:pos="57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C7AC8" w14:textId="77777777" w:rsidR="00BC2868" w:rsidRDefault="00BC2868">
    <w:pPr>
      <w:pStyle w:val="Fuzeile"/>
      <w:jc w:val="right"/>
    </w:pPr>
  </w:p>
  <w:p w14:paraId="3CEF367B" w14:textId="77777777" w:rsidR="00BC2868" w:rsidRDefault="00BC286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737365"/>
      <w:docPartObj>
        <w:docPartGallery w:val="Page Numbers (Bottom of Page)"/>
        <w:docPartUnique/>
      </w:docPartObj>
    </w:sdtPr>
    <w:sdtContent>
      <w:p w14:paraId="534E3D59" w14:textId="77777777" w:rsidR="00BC2868" w:rsidRDefault="00000000">
        <w:pPr>
          <w:pStyle w:val="Fuzeile"/>
          <w:jc w:val="right"/>
        </w:pPr>
        <w:r>
          <w:fldChar w:fldCharType="begin"/>
        </w:r>
        <w:r>
          <w:instrText>PAGE   \* MERGEFORMAT</w:instrText>
        </w:r>
        <w:r>
          <w:fldChar w:fldCharType="separate"/>
        </w:r>
        <w:r>
          <w:rPr>
            <w:noProof/>
          </w:rPr>
          <w:t>4</w:t>
        </w:r>
        <w:r>
          <w:fldChar w:fldCharType="end"/>
        </w:r>
      </w:p>
    </w:sdtContent>
  </w:sdt>
  <w:p w14:paraId="7B945ABE" w14:textId="77777777" w:rsidR="00BC2868" w:rsidRDefault="00BC2868" w:rsidP="003B7768">
    <w:pPr>
      <w:pStyle w:val="Fuzeile"/>
      <w:tabs>
        <w:tab w:val="clear" w:pos="4536"/>
        <w:tab w:val="clear" w:pos="9072"/>
        <w:tab w:val="left" w:pos="57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2F2D5" w14:textId="77777777" w:rsidR="002F5927" w:rsidRDefault="002F5927" w:rsidP="002521B9">
      <w:pPr>
        <w:spacing w:after="0" w:line="240" w:lineRule="auto"/>
      </w:pPr>
      <w:r>
        <w:separator/>
      </w:r>
    </w:p>
  </w:footnote>
  <w:footnote w:type="continuationSeparator" w:id="0">
    <w:p w14:paraId="3656C092" w14:textId="77777777" w:rsidR="002F5927" w:rsidRDefault="002F5927" w:rsidP="002521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B5D09"/>
    <w:multiLevelType w:val="hybridMultilevel"/>
    <w:tmpl w:val="FFAE5D90"/>
    <w:lvl w:ilvl="0" w:tplc="CE485B2C">
      <w:start w:val="734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6A258D"/>
    <w:multiLevelType w:val="hybridMultilevel"/>
    <w:tmpl w:val="3F3C4622"/>
    <w:lvl w:ilvl="0" w:tplc="DECA91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D30489"/>
    <w:multiLevelType w:val="hybridMultilevel"/>
    <w:tmpl w:val="EEFE1F74"/>
    <w:lvl w:ilvl="0" w:tplc="A3CA247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B07994"/>
    <w:multiLevelType w:val="hybridMultilevel"/>
    <w:tmpl w:val="BCD013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156C74"/>
    <w:multiLevelType w:val="hybridMultilevel"/>
    <w:tmpl w:val="E9A04442"/>
    <w:lvl w:ilvl="0" w:tplc="536CADB8">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A73E08"/>
    <w:multiLevelType w:val="hybridMultilevel"/>
    <w:tmpl w:val="2D4ADA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E4D064E"/>
    <w:multiLevelType w:val="multilevel"/>
    <w:tmpl w:val="6A604F2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65AB16E9"/>
    <w:multiLevelType w:val="hybridMultilevel"/>
    <w:tmpl w:val="8B4EC498"/>
    <w:lvl w:ilvl="0" w:tplc="B9C4061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BB7688"/>
    <w:multiLevelType w:val="hybridMultilevel"/>
    <w:tmpl w:val="85822DC0"/>
    <w:lvl w:ilvl="0" w:tplc="8A263C0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D74420D"/>
    <w:multiLevelType w:val="hybridMultilevel"/>
    <w:tmpl w:val="CDBE83AC"/>
    <w:lvl w:ilvl="0" w:tplc="AC861952">
      <w:start w:val="2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47E4EA1"/>
    <w:multiLevelType w:val="hybridMultilevel"/>
    <w:tmpl w:val="99B0866A"/>
    <w:lvl w:ilvl="0" w:tplc="6A6E7436">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8315799">
    <w:abstractNumId w:val="3"/>
  </w:num>
  <w:num w:numId="2" w16cid:durableId="91780387">
    <w:abstractNumId w:val="5"/>
  </w:num>
  <w:num w:numId="3" w16cid:durableId="44961234">
    <w:abstractNumId w:val="6"/>
  </w:num>
  <w:num w:numId="4" w16cid:durableId="1974367387">
    <w:abstractNumId w:val="4"/>
  </w:num>
  <w:num w:numId="5" w16cid:durableId="853497760">
    <w:abstractNumId w:val="10"/>
  </w:num>
  <w:num w:numId="6" w16cid:durableId="1454404225">
    <w:abstractNumId w:val="8"/>
  </w:num>
  <w:num w:numId="7" w16cid:durableId="366414750">
    <w:abstractNumId w:val="1"/>
  </w:num>
  <w:num w:numId="8" w16cid:durableId="1802384875">
    <w:abstractNumId w:val="7"/>
  </w:num>
  <w:num w:numId="9" w16cid:durableId="1110780850">
    <w:abstractNumId w:val="0"/>
  </w:num>
  <w:num w:numId="10" w16cid:durableId="177279122">
    <w:abstractNumId w:val="9"/>
  </w:num>
  <w:num w:numId="11" w16cid:durableId="147606934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ilhelm Aicher">
    <w15:presenceInfo w15:providerId="AD" w15:userId="S::wilhelm.aicher@med.uni-tuebingen.de::f8d9f140-8376-44cb-aeb8-bafacca0f9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85902"/>
    <w:rsid w:val="00042E54"/>
    <w:rsid w:val="000B09B0"/>
    <w:rsid w:val="000B18D1"/>
    <w:rsid w:val="000E09DF"/>
    <w:rsid w:val="001E0924"/>
    <w:rsid w:val="002521B9"/>
    <w:rsid w:val="002F4DCE"/>
    <w:rsid w:val="002F5927"/>
    <w:rsid w:val="003545CB"/>
    <w:rsid w:val="003D2229"/>
    <w:rsid w:val="003D6C6A"/>
    <w:rsid w:val="00452FCB"/>
    <w:rsid w:val="005E5C8D"/>
    <w:rsid w:val="00600BBD"/>
    <w:rsid w:val="00660F2C"/>
    <w:rsid w:val="0068318F"/>
    <w:rsid w:val="006B7C0A"/>
    <w:rsid w:val="006F7D57"/>
    <w:rsid w:val="0071199E"/>
    <w:rsid w:val="00791554"/>
    <w:rsid w:val="007B558F"/>
    <w:rsid w:val="007F17EA"/>
    <w:rsid w:val="00851B93"/>
    <w:rsid w:val="00991C0A"/>
    <w:rsid w:val="009D0119"/>
    <w:rsid w:val="00A1494A"/>
    <w:rsid w:val="00A536F7"/>
    <w:rsid w:val="00AB2F49"/>
    <w:rsid w:val="00B16CD9"/>
    <w:rsid w:val="00BA3F1C"/>
    <w:rsid w:val="00BC2868"/>
    <w:rsid w:val="00BF63C1"/>
    <w:rsid w:val="00C35F83"/>
    <w:rsid w:val="00C85902"/>
    <w:rsid w:val="00D716C2"/>
    <w:rsid w:val="00E6277F"/>
    <w:rsid w:val="00EE36E7"/>
    <w:rsid w:val="00F566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5D49"/>
  <w15:chartTrackingRefBased/>
  <w15:docId w15:val="{303AA38E-17B6-4816-B734-63B2341E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5902"/>
    <w:pPr>
      <w:spacing w:line="360" w:lineRule="auto"/>
    </w:pPr>
    <w:rPr>
      <w:rFonts w:ascii="Arial" w:hAnsi="Arial"/>
      <w:sz w:val="24"/>
    </w:rPr>
  </w:style>
  <w:style w:type="paragraph" w:styleId="berschrift1">
    <w:name w:val="heading 1"/>
    <w:basedOn w:val="Standard"/>
    <w:next w:val="Standard"/>
    <w:link w:val="berschrift1Zchn"/>
    <w:uiPriority w:val="9"/>
    <w:qFormat/>
    <w:rsid w:val="00C85902"/>
    <w:pPr>
      <w:keepNext/>
      <w:keepLines/>
      <w:numPr>
        <w:numId w:val="3"/>
      </w:numPr>
      <w:spacing w:before="480" w:after="0"/>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C85902"/>
    <w:pPr>
      <w:keepNext/>
      <w:keepLines/>
      <w:numPr>
        <w:ilvl w:val="1"/>
        <w:numId w:val="3"/>
      </w:numPr>
      <w:spacing w:before="200" w:after="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C85902"/>
    <w:pPr>
      <w:keepNext/>
      <w:keepLines/>
      <w:numPr>
        <w:ilvl w:val="2"/>
        <w:numId w:val="3"/>
      </w:numPr>
      <w:spacing w:before="200" w:after="0"/>
      <w:outlineLvl w:val="2"/>
    </w:pPr>
    <w:rPr>
      <w:rFonts w:eastAsiaTheme="majorEastAsia" w:cstheme="majorBidi"/>
      <w:b/>
      <w:bCs/>
      <w:i/>
    </w:rPr>
  </w:style>
  <w:style w:type="paragraph" w:styleId="berschrift4">
    <w:name w:val="heading 4"/>
    <w:basedOn w:val="Standard"/>
    <w:next w:val="Standard"/>
    <w:link w:val="berschrift4Zchn"/>
    <w:uiPriority w:val="9"/>
    <w:unhideWhenUsed/>
    <w:qFormat/>
    <w:rsid w:val="00C85902"/>
    <w:pPr>
      <w:keepNext/>
      <w:keepLines/>
      <w:numPr>
        <w:ilvl w:val="3"/>
        <w:numId w:val="3"/>
      </w:numPr>
      <w:spacing w:before="200" w:after="0"/>
      <w:outlineLvl w:val="3"/>
    </w:pPr>
    <w:rPr>
      <w:rFonts w:eastAsiaTheme="majorEastAsia" w:cstheme="majorBidi"/>
      <w:bCs/>
      <w:iCs/>
    </w:rPr>
  </w:style>
  <w:style w:type="paragraph" w:styleId="berschrift5">
    <w:name w:val="heading 5"/>
    <w:basedOn w:val="Standard"/>
    <w:next w:val="Standard"/>
    <w:link w:val="berschrift5Zchn"/>
    <w:uiPriority w:val="9"/>
    <w:semiHidden/>
    <w:unhideWhenUsed/>
    <w:qFormat/>
    <w:rsid w:val="00C85902"/>
    <w:pPr>
      <w:keepNext/>
      <w:keepLines/>
      <w:numPr>
        <w:ilvl w:val="4"/>
        <w:numId w:val="3"/>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9"/>
    <w:semiHidden/>
    <w:unhideWhenUsed/>
    <w:qFormat/>
    <w:rsid w:val="00C85902"/>
    <w:pPr>
      <w:keepNext/>
      <w:keepLines/>
      <w:numPr>
        <w:ilvl w:val="5"/>
        <w:numId w:val="3"/>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9"/>
    <w:semiHidden/>
    <w:unhideWhenUsed/>
    <w:qFormat/>
    <w:rsid w:val="00C85902"/>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85902"/>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85902"/>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85902"/>
    <w:rPr>
      <w:rFonts w:ascii="Arial" w:eastAsiaTheme="majorEastAsia" w:hAnsi="Arial" w:cstheme="majorBidi"/>
      <w:b/>
      <w:bCs/>
      <w:color w:val="000000" w:themeColor="text1"/>
      <w:sz w:val="28"/>
      <w:szCs w:val="28"/>
    </w:rPr>
  </w:style>
  <w:style w:type="character" w:customStyle="1" w:styleId="berschrift2Zchn">
    <w:name w:val="Überschrift 2 Zchn"/>
    <w:basedOn w:val="Absatz-Standardschriftart"/>
    <w:link w:val="berschrift2"/>
    <w:uiPriority w:val="9"/>
    <w:rsid w:val="00C85902"/>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C85902"/>
    <w:rPr>
      <w:rFonts w:ascii="Arial" w:eastAsiaTheme="majorEastAsia" w:hAnsi="Arial" w:cstheme="majorBidi"/>
      <w:b/>
      <w:bCs/>
      <w:i/>
      <w:sz w:val="24"/>
    </w:rPr>
  </w:style>
  <w:style w:type="character" w:customStyle="1" w:styleId="berschrift4Zchn">
    <w:name w:val="Überschrift 4 Zchn"/>
    <w:basedOn w:val="Absatz-Standardschriftart"/>
    <w:link w:val="berschrift4"/>
    <w:uiPriority w:val="9"/>
    <w:rsid w:val="00C85902"/>
    <w:rPr>
      <w:rFonts w:ascii="Arial" w:eastAsiaTheme="majorEastAsia" w:hAnsi="Arial" w:cstheme="majorBidi"/>
      <w:bCs/>
      <w:iCs/>
      <w:sz w:val="24"/>
    </w:rPr>
  </w:style>
  <w:style w:type="character" w:customStyle="1" w:styleId="berschrift5Zchn">
    <w:name w:val="Überschrift 5 Zchn"/>
    <w:basedOn w:val="Absatz-Standardschriftart"/>
    <w:link w:val="berschrift5"/>
    <w:uiPriority w:val="9"/>
    <w:semiHidden/>
    <w:rsid w:val="00C85902"/>
    <w:rPr>
      <w:rFonts w:asciiTheme="majorHAnsi" w:eastAsiaTheme="majorEastAsia" w:hAnsiTheme="majorHAnsi" w:cstheme="majorBidi"/>
      <w:color w:val="1F3763" w:themeColor="accent1" w:themeShade="7F"/>
      <w:sz w:val="24"/>
    </w:rPr>
  </w:style>
  <w:style w:type="character" w:customStyle="1" w:styleId="berschrift6Zchn">
    <w:name w:val="Überschrift 6 Zchn"/>
    <w:basedOn w:val="Absatz-Standardschriftart"/>
    <w:link w:val="berschrift6"/>
    <w:uiPriority w:val="9"/>
    <w:semiHidden/>
    <w:rsid w:val="00C85902"/>
    <w:rPr>
      <w:rFonts w:asciiTheme="majorHAnsi" w:eastAsiaTheme="majorEastAsia" w:hAnsiTheme="majorHAnsi" w:cstheme="majorBidi"/>
      <w:i/>
      <w:iCs/>
      <w:color w:val="1F3763" w:themeColor="accent1" w:themeShade="7F"/>
      <w:sz w:val="24"/>
    </w:rPr>
  </w:style>
  <w:style w:type="character" w:customStyle="1" w:styleId="berschrift7Zchn">
    <w:name w:val="Überschrift 7 Zchn"/>
    <w:basedOn w:val="Absatz-Standardschriftart"/>
    <w:link w:val="berschrift7"/>
    <w:uiPriority w:val="9"/>
    <w:semiHidden/>
    <w:rsid w:val="00C85902"/>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C8590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85902"/>
    <w:rPr>
      <w:rFonts w:asciiTheme="majorHAnsi" w:eastAsiaTheme="majorEastAsia" w:hAnsiTheme="majorHAnsi" w:cstheme="majorBidi"/>
      <w:i/>
      <w:iCs/>
      <w:color w:val="404040" w:themeColor="text1" w:themeTint="BF"/>
      <w:sz w:val="20"/>
      <w:szCs w:val="20"/>
    </w:rPr>
  </w:style>
  <w:style w:type="character" w:styleId="Kommentarzeichen">
    <w:name w:val="annotation reference"/>
    <w:basedOn w:val="Absatz-Standardschriftart"/>
    <w:uiPriority w:val="99"/>
    <w:semiHidden/>
    <w:unhideWhenUsed/>
    <w:rsid w:val="00C85902"/>
    <w:rPr>
      <w:sz w:val="16"/>
      <w:szCs w:val="16"/>
    </w:rPr>
  </w:style>
  <w:style w:type="paragraph" w:styleId="Kommentartext">
    <w:name w:val="annotation text"/>
    <w:basedOn w:val="Standard"/>
    <w:link w:val="KommentartextZchn"/>
    <w:uiPriority w:val="99"/>
    <w:unhideWhenUsed/>
    <w:rsid w:val="00C85902"/>
    <w:pPr>
      <w:spacing w:line="240" w:lineRule="auto"/>
    </w:pPr>
    <w:rPr>
      <w:sz w:val="20"/>
      <w:szCs w:val="20"/>
    </w:rPr>
  </w:style>
  <w:style w:type="character" w:customStyle="1" w:styleId="KommentartextZchn">
    <w:name w:val="Kommentartext Zchn"/>
    <w:basedOn w:val="Absatz-Standardschriftart"/>
    <w:link w:val="Kommentartext"/>
    <w:uiPriority w:val="99"/>
    <w:rsid w:val="00C85902"/>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C85902"/>
    <w:rPr>
      <w:b/>
      <w:bCs/>
    </w:rPr>
  </w:style>
  <w:style w:type="character" w:customStyle="1" w:styleId="KommentarthemaZchn">
    <w:name w:val="Kommentarthema Zchn"/>
    <w:basedOn w:val="KommentartextZchn"/>
    <w:link w:val="Kommentarthema"/>
    <w:uiPriority w:val="99"/>
    <w:semiHidden/>
    <w:rsid w:val="00C85902"/>
    <w:rPr>
      <w:rFonts w:ascii="Arial" w:hAnsi="Arial"/>
      <w:b/>
      <w:bCs/>
      <w:sz w:val="20"/>
      <w:szCs w:val="20"/>
    </w:rPr>
  </w:style>
  <w:style w:type="paragraph" w:styleId="Sprechblasentext">
    <w:name w:val="Balloon Text"/>
    <w:basedOn w:val="Standard"/>
    <w:link w:val="SprechblasentextZchn"/>
    <w:uiPriority w:val="99"/>
    <w:semiHidden/>
    <w:unhideWhenUsed/>
    <w:rsid w:val="00C8590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5902"/>
    <w:rPr>
      <w:rFonts w:ascii="Tahoma" w:hAnsi="Tahoma" w:cs="Tahoma"/>
      <w:sz w:val="16"/>
      <w:szCs w:val="16"/>
    </w:rPr>
  </w:style>
  <w:style w:type="paragraph" w:styleId="Listenabsatz">
    <w:name w:val="List Paragraph"/>
    <w:basedOn w:val="Standard"/>
    <w:uiPriority w:val="34"/>
    <w:qFormat/>
    <w:rsid w:val="00C85902"/>
    <w:pPr>
      <w:ind w:left="720"/>
      <w:contextualSpacing/>
    </w:pPr>
  </w:style>
  <w:style w:type="paragraph" w:styleId="KeinLeerraum">
    <w:name w:val="No Spacing"/>
    <w:aliases w:val="Schrift_Literaturverzeichnis"/>
    <w:uiPriority w:val="1"/>
    <w:qFormat/>
    <w:rsid w:val="00C85902"/>
    <w:pPr>
      <w:spacing w:after="0" w:line="240" w:lineRule="auto"/>
    </w:pPr>
    <w:rPr>
      <w:rFonts w:ascii="Arial" w:hAnsi="Arial"/>
      <w:sz w:val="24"/>
    </w:rPr>
  </w:style>
  <w:style w:type="paragraph" w:styleId="Inhaltsverzeichnisberschrift">
    <w:name w:val="TOC Heading"/>
    <w:basedOn w:val="berschrift1"/>
    <w:next w:val="Standard"/>
    <w:uiPriority w:val="39"/>
    <w:unhideWhenUsed/>
    <w:qFormat/>
    <w:rsid w:val="00C85902"/>
    <w:pPr>
      <w:numPr>
        <w:numId w:val="0"/>
      </w:numPr>
      <w:spacing w:line="276" w:lineRule="auto"/>
      <w:outlineLvl w:val="9"/>
    </w:pPr>
    <w:rPr>
      <w:rFonts w:asciiTheme="majorHAnsi" w:hAnsiTheme="majorHAnsi"/>
      <w:color w:val="2F5496" w:themeColor="accent1" w:themeShade="BF"/>
      <w:lang w:eastAsia="de-DE"/>
    </w:rPr>
  </w:style>
  <w:style w:type="paragraph" w:styleId="Verzeichnis2">
    <w:name w:val="toc 2"/>
    <w:basedOn w:val="Standard"/>
    <w:next w:val="Standard"/>
    <w:autoRedefine/>
    <w:uiPriority w:val="39"/>
    <w:unhideWhenUsed/>
    <w:qFormat/>
    <w:rsid w:val="00C85902"/>
    <w:pPr>
      <w:spacing w:after="100" w:line="276" w:lineRule="auto"/>
      <w:ind w:left="220"/>
    </w:pPr>
    <w:rPr>
      <w:rFonts w:eastAsiaTheme="minorEastAsia"/>
      <w:lang w:eastAsia="de-DE"/>
    </w:rPr>
  </w:style>
  <w:style w:type="paragraph" w:styleId="Verzeichnis1">
    <w:name w:val="toc 1"/>
    <w:aliases w:val="Vorlage Promotion"/>
    <w:basedOn w:val="Standard"/>
    <w:next w:val="Standard"/>
    <w:autoRedefine/>
    <w:uiPriority w:val="39"/>
    <w:unhideWhenUsed/>
    <w:qFormat/>
    <w:rsid w:val="00C85902"/>
    <w:pPr>
      <w:spacing w:after="100"/>
    </w:pPr>
    <w:rPr>
      <w:rFonts w:eastAsiaTheme="minorEastAsia"/>
      <w:lang w:eastAsia="de-DE"/>
    </w:rPr>
  </w:style>
  <w:style w:type="paragraph" w:styleId="Verzeichnis3">
    <w:name w:val="toc 3"/>
    <w:basedOn w:val="Standard"/>
    <w:next w:val="Standard"/>
    <w:autoRedefine/>
    <w:uiPriority w:val="39"/>
    <w:unhideWhenUsed/>
    <w:qFormat/>
    <w:rsid w:val="00C85902"/>
    <w:pPr>
      <w:spacing w:after="100" w:line="276" w:lineRule="auto"/>
      <w:ind w:left="440"/>
    </w:pPr>
    <w:rPr>
      <w:rFonts w:eastAsiaTheme="minorEastAsia"/>
      <w:lang w:eastAsia="de-DE"/>
    </w:rPr>
  </w:style>
  <w:style w:type="character" w:styleId="Hyperlink">
    <w:name w:val="Hyperlink"/>
    <w:basedOn w:val="Absatz-Standardschriftart"/>
    <w:uiPriority w:val="99"/>
    <w:unhideWhenUsed/>
    <w:rsid w:val="00C85902"/>
    <w:rPr>
      <w:color w:val="0563C1" w:themeColor="hyperlink"/>
      <w:u w:val="single"/>
    </w:rPr>
  </w:style>
  <w:style w:type="paragraph" w:styleId="Kopfzeile">
    <w:name w:val="header"/>
    <w:basedOn w:val="Standard"/>
    <w:link w:val="KopfzeileZchn"/>
    <w:uiPriority w:val="99"/>
    <w:unhideWhenUsed/>
    <w:rsid w:val="00C859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5902"/>
    <w:rPr>
      <w:rFonts w:ascii="Arial" w:hAnsi="Arial"/>
      <w:sz w:val="24"/>
    </w:rPr>
  </w:style>
  <w:style w:type="paragraph" w:styleId="Fuzeile">
    <w:name w:val="footer"/>
    <w:basedOn w:val="Standard"/>
    <w:link w:val="FuzeileZchn"/>
    <w:uiPriority w:val="99"/>
    <w:unhideWhenUsed/>
    <w:rsid w:val="00C859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5902"/>
    <w:rPr>
      <w:rFonts w:ascii="Arial" w:hAnsi="Arial"/>
      <w:sz w:val="24"/>
    </w:rPr>
  </w:style>
  <w:style w:type="paragraph" w:styleId="Funotentext">
    <w:name w:val="footnote text"/>
    <w:basedOn w:val="Standard"/>
    <w:link w:val="FunotentextZchn"/>
    <w:uiPriority w:val="99"/>
    <w:unhideWhenUsed/>
    <w:rsid w:val="00C85902"/>
    <w:pPr>
      <w:spacing w:after="0" w:line="240" w:lineRule="auto"/>
    </w:pPr>
    <w:rPr>
      <w:sz w:val="20"/>
      <w:szCs w:val="20"/>
    </w:rPr>
  </w:style>
  <w:style w:type="character" w:customStyle="1" w:styleId="FunotentextZchn">
    <w:name w:val="Fußnotentext Zchn"/>
    <w:basedOn w:val="Absatz-Standardschriftart"/>
    <w:link w:val="Funotentext"/>
    <w:uiPriority w:val="99"/>
    <w:rsid w:val="00C85902"/>
    <w:rPr>
      <w:rFonts w:ascii="Arial" w:hAnsi="Arial"/>
      <w:sz w:val="20"/>
      <w:szCs w:val="20"/>
    </w:rPr>
  </w:style>
  <w:style w:type="character" w:styleId="Funotenzeichen">
    <w:name w:val="footnote reference"/>
    <w:basedOn w:val="Absatz-Standardschriftart"/>
    <w:uiPriority w:val="99"/>
    <w:semiHidden/>
    <w:unhideWhenUsed/>
    <w:rsid w:val="00C85902"/>
    <w:rPr>
      <w:vertAlign w:val="superscript"/>
    </w:rPr>
  </w:style>
  <w:style w:type="table" w:styleId="Tabellenraster">
    <w:name w:val="Table Grid"/>
    <w:basedOn w:val="NormaleTabelle"/>
    <w:uiPriority w:val="39"/>
    <w:rsid w:val="00C85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C85902"/>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C85902"/>
    <w:pPr>
      <w:spacing w:after="0"/>
    </w:pPr>
  </w:style>
  <w:style w:type="character" w:styleId="Platzhaltertext">
    <w:name w:val="Placeholder Text"/>
    <w:basedOn w:val="Absatz-Standardschriftart"/>
    <w:uiPriority w:val="99"/>
    <w:semiHidden/>
    <w:rsid w:val="00C85902"/>
    <w:rPr>
      <w:color w:val="808080"/>
    </w:rPr>
  </w:style>
  <w:style w:type="paragraph" w:customStyle="1" w:styleId="DecimalAligned">
    <w:name w:val="Decimal Aligned"/>
    <w:basedOn w:val="Standard"/>
    <w:uiPriority w:val="40"/>
    <w:qFormat/>
    <w:rsid w:val="00C85902"/>
    <w:pPr>
      <w:tabs>
        <w:tab w:val="decimal" w:pos="360"/>
      </w:tabs>
      <w:spacing w:after="200" w:line="276" w:lineRule="auto"/>
    </w:pPr>
    <w:rPr>
      <w:rFonts w:asciiTheme="minorHAnsi" w:eastAsiaTheme="minorEastAsia" w:hAnsiTheme="minorHAnsi" w:cs="Times New Roman"/>
      <w:sz w:val="22"/>
      <w:lang w:eastAsia="de-DE"/>
    </w:rPr>
  </w:style>
  <w:style w:type="character" w:styleId="SchwacheHervorhebung">
    <w:name w:val="Subtle Emphasis"/>
    <w:basedOn w:val="Absatz-Standardschriftart"/>
    <w:uiPriority w:val="19"/>
    <w:qFormat/>
    <w:rsid w:val="00C85902"/>
    <w:rPr>
      <w:i/>
      <w:iCs/>
    </w:rPr>
  </w:style>
  <w:style w:type="table" w:styleId="HelleSchattierung-Akzent1">
    <w:name w:val="Light Shading Accent 1"/>
    <w:basedOn w:val="NormaleTabelle"/>
    <w:uiPriority w:val="60"/>
    <w:rsid w:val="00C85902"/>
    <w:pPr>
      <w:spacing w:after="0" w:line="240" w:lineRule="auto"/>
    </w:pPr>
    <w:rPr>
      <w:rFonts w:eastAsiaTheme="minorEastAsia"/>
      <w:color w:val="2F5496" w:themeColor="accent1" w:themeShade="BF"/>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EinfacheTabelle1">
    <w:name w:val="Plain Table 1"/>
    <w:basedOn w:val="NormaleTabelle"/>
    <w:uiPriority w:val="41"/>
    <w:rsid w:val="00C8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C85902"/>
    <w:pPr>
      <w:spacing w:after="0" w:line="240" w:lineRule="auto"/>
    </w:pPr>
    <w:rPr>
      <w:rFonts w:ascii="Arial" w:hAnsi="Arial"/>
      <w:sz w:val="24"/>
    </w:rPr>
  </w:style>
  <w:style w:type="paragraph" w:styleId="Literaturverzeichnis">
    <w:name w:val="Bibliography"/>
    <w:basedOn w:val="Standard"/>
    <w:next w:val="Standard"/>
    <w:uiPriority w:val="37"/>
    <w:unhideWhenUsed/>
    <w:rsid w:val="00C85902"/>
  </w:style>
  <w:style w:type="paragraph" w:customStyle="1" w:styleId="EndNoteBibliographyTitle">
    <w:name w:val="EndNote Bibliography Title"/>
    <w:basedOn w:val="Standard"/>
    <w:link w:val="EndNoteBibliographyTitleZchn"/>
    <w:rsid w:val="00C85902"/>
    <w:pPr>
      <w:spacing w:after="0"/>
      <w:jc w:val="center"/>
    </w:pPr>
    <w:rPr>
      <w:rFonts w:cs="Arial"/>
      <w:noProof/>
      <w:lang w:val="en-US"/>
    </w:rPr>
  </w:style>
  <w:style w:type="character" w:customStyle="1" w:styleId="EndNoteBibliographyTitleZchn">
    <w:name w:val="EndNote Bibliography Title Zchn"/>
    <w:basedOn w:val="Absatz-Standardschriftart"/>
    <w:link w:val="EndNoteBibliographyTitle"/>
    <w:rsid w:val="00C85902"/>
    <w:rPr>
      <w:rFonts w:ascii="Arial" w:hAnsi="Arial" w:cs="Arial"/>
      <w:noProof/>
      <w:sz w:val="24"/>
      <w:lang w:val="en-US"/>
    </w:rPr>
  </w:style>
  <w:style w:type="paragraph" w:customStyle="1" w:styleId="EndNoteBibliography">
    <w:name w:val="EndNote Bibliography"/>
    <w:basedOn w:val="Standard"/>
    <w:link w:val="EndNoteBibliographyZchn"/>
    <w:rsid w:val="00C85902"/>
    <w:pPr>
      <w:spacing w:line="240" w:lineRule="auto"/>
    </w:pPr>
    <w:rPr>
      <w:rFonts w:cs="Arial"/>
      <w:noProof/>
      <w:lang w:val="en-US"/>
    </w:rPr>
  </w:style>
  <w:style w:type="character" w:customStyle="1" w:styleId="EndNoteBibliographyZchn">
    <w:name w:val="EndNote Bibliography Zchn"/>
    <w:basedOn w:val="Absatz-Standardschriftart"/>
    <w:link w:val="EndNoteBibliography"/>
    <w:rsid w:val="00C85902"/>
    <w:rPr>
      <w:rFonts w:ascii="Arial" w:hAnsi="Arial" w:cs="Arial"/>
      <w:noProof/>
      <w:sz w:val="24"/>
      <w:lang w:val="en-US"/>
    </w:rPr>
  </w:style>
  <w:style w:type="character" w:styleId="NichtaufgelsteErwhnung">
    <w:name w:val="Unresolved Mention"/>
    <w:basedOn w:val="Absatz-Standardschriftart"/>
    <w:uiPriority w:val="99"/>
    <w:semiHidden/>
    <w:unhideWhenUsed/>
    <w:rsid w:val="00C85902"/>
    <w:rPr>
      <w:color w:val="605E5C"/>
      <w:shd w:val="clear" w:color="auto" w:fill="E1DFDD"/>
    </w:rPr>
  </w:style>
  <w:style w:type="paragraph" w:customStyle="1" w:styleId="Default">
    <w:name w:val="Default"/>
    <w:rsid w:val="00C85902"/>
    <w:pPr>
      <w:autoSpaceDE w:val="0"/>
      <w:autoSpaceDN w:val="0"/>
      <w:adjustRightInd w:val="0"/>
      <w:spacing w:after="0" w:line="240" w:lineRule="auto"/>
    </w:pPr>
    <w:rPr>
      <w:rFonts w:ascii="Lucida Sans" w:hAnsi="Lucida Sans" w:cs="Lucida Sans"/>
      <w:color w:val="000000"/>
      <w:sz w:val="24"/>
      <w:szCs w:val="24"/>
    </w:rPr>
  </w:style>
  <w:style w:type="table" w:styleId="TabellemithellemGitternetz">
    <w:name w:val="Grid Table Light"/>
    <w:basedOn w:val="NormaleTabelle"/>
    <w:uiPriority w:val="40"/>
    <w:rsid w:val="00C859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2">
    <w:name w:val="Plain Table 2"/>
    <w:basedOn w:val="NormaleTabelle"/>
    <w:uiPriority w:val="42"/>
    <w:rsid w:val="00C859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5">
    <w:name w:val="Plain Table 5"/>
    <w:basedOn w:val="NormaleTabelle"/>
    <w:uiPriority w:val="45"/>
    <w:rsid w:val="00C859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5dunkelAkzent3">
    <w:name w:val="Grid Table 5 Dark Accent 3"/>
    <w:basedOn w:val="NormaleTabelle"/>
    <w:uiPriority w:val="50"/>
    <w:rsid w:val="00C859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ntabelle3">
    <w:name w:val="List Table 3"/>
    <w:basedOn w:val="NormaleTabelle"/>
    <w:uiPriority w:val="48"/>
    <w:rsid w:val="00C859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3">
    <w:name w:val="List Table 3 Accent 3"/>
    <w:basedOn w:val="NormaleTabelle"/>
    <w:uiPriority w:val="48"/>
    <w:rsid w:val="00C8590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Hervorhebung">
    <w:name w:val="Emphasis"/>
    <w:basedOn w:val="Absatz-Standardschriftart"/>
    <w:uiPriority w:val="20"/>
    <w:qFormat/>
    <w:rsid w:val="00C859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chart" Target="charts/chart4.xml"/><Relationship Id="rId33" Type="http://schemas.openxmlformats.org/officeDocument/2006/relationships/chart" Target="charts/chart8.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1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chart" Target="charts/chart6.xml"/><Relationship Id="rId30" Type="http://schemas.openxmlformats.org/officeDocument/2006/relationships/image" Target="media/image14.jpg"/><Relationship Id="rId35" Type="http://schemas.openxmlformats.org/officeDocument/2006/relationships/image" Target="media/image1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halie\Desktop\Deskop%20Diss%20Dokumente\Proteinbestimmung-2%201203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athalie\Desktop\diss\Deskop%20Diss%20Dokumente\Nathalie%20alle%20Proben%20mit%20beta%20acti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athalie\Desktop\diss\WB%20Gel%20analyse.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Mappe3"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800" b="1" strike="noStrike" spc="-1">
                <a:solidFill>
                  <a:srgbClr val="000000"/>
                </a:solidFill>
                <a:latin typeface="Arial"/>
                <a:ea typeface="Arial"/>
              </a:defRPr>
            </a:pPr>
            <a:r>
              <a:rPr lang="de-DE" sz="1800" b="1" strike="noStrike" spc="-1">
                <a:solidFill>
                  <a:srgbClr val="000000"/>
                </a:solidFill>
                <a:latin typeface="Arial"/>
                <a:ea typeface="Arial"/>
              </a:rPr>
              <a:t>Kalibrierungslinie</a:t>
            </a:r>
          </a:p>
        </c:rich>
      </c:tx>
      <c:overlay val="0"/>
    </c:title>
    <c:autoTitleDeleted val="0"/>
    <c:plotArea>
      <c:layout/>
      <c:scatterChart>
        <c:scatterStyle val="lineMarker"/>
        <c:varyColors val="0"/>
        <c:ser>
          <c:idx val="0"/>
          <c:order val="0"/>
          <c:tx>
            <c:strRef>
              <c:f>'20160503 alpha2A closed A325C'!$A$18</c:f>
              <c:strCache>
                <c:ptCount val="1"/>
                <c:pt idx="0">
                  <c:v>Proteinstandard</c:v>
                </c:pt>
              </c:strCache>
            </c:strRef>
          </c:tx>
          <c:spPr>
            <a:ln w="28440">
              <a:noFill/>
            </a:ln>
          </c:spPr>
          <c:marker>
            <c:symbol val="diamond"/>
            <c:size val="5"/>
            <c:spPr>
              <a:solidFill>
                <a:srgbClr val="4F81BD"/>
              </a:solidFill>
            </c:spPr>
          </c:marker>
          <c:dLbls>
            <c:spPr>
              <a:noFill/>
              <a:ln>
                <a:noFill/>
              </a:ln>
              <a:effectLst/>
            </c:sp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trendline>
            <c:spPr>
              <a:ln w="9360">
                <a:solidFill>
                  <a:srgbClr val="000000"/>
                </a:solidFill>
                <a:round/>
              </a:ln>
            </c:spPr>
            <c:trendlineType val="linear"/>
            <c:dispRSqr val="0"/>
            <c:dispEq val="0"/>
          </c:trendline>
          <c:trendline>
            <c:spPr>
              <a:ln w="9360">
                <a:solidFill>
                  <a:srgbClr val="000000"/>
                </a:solidFill>
                <a:round/>
              </a:ln>
            </c:spPr>
            <c:trendlineType val="linear"/>
            <c:dispRSqr val="0"/>
            <c:dispEq val="0"/>
          </c:trendline>
          <c:trendline>
            <c:spPr>
              <a:ln w="9360">
                <a:solidFill>
                  <a:srgbClr val="000000"/>
                </a:solidFill>
                <a:round/>
              </a:ln>
            </c:spPr>
            <c:trendlineType val="linear"/>
            <c:dispRSqr val="0"/>
            <c:dispEq val="1"/>
            <c:trendlineLbl>
              <c:numFmt formatCode="General" sourceLinked="0"/>
            </c:trendlineLbl>
          </c:trendline>
          <c:xVal>
            <c:numRef>
              <c:f>'20160503 alpha2A closed A325C'!$B$18:$B$28</c:f>
              <c:numCache>
                <c:formatCode>General</c:formatCode>
                <c:ptCount val="11"/>
                <c:pt idx="0">
                  <c:v>3.04</c:v>
                </c:pt>
                <c:pt idx="1">
                  <c:v>1.52</c:v>
                </c:pt>
                <c:pt idx="2">
                  <c:v>0.76</c:v>
                </c:pt>
                <c:pt idx="3">
                  <c:v>0.38</c:v>
                </c:pt>
                <c:pt idx="4">
                  <c:v>0.19</c:v>
                </c:pt>
              </c:numCache>
            </c:numRef>
          </c:xVal>
          <c:yVal>
            <c:numRef>
              <c:f>'20160503 alpha2A closed A325C'!$D$18:$D$28</c:f>
              <c:numCache>
                <c:formatCode>0.000</c:formatCode>
                <c:ptCount val="11"/>
                <c:pt idx="0">
                  <c:v>0.23482322304133801</c:v>
                </c:pt>
                <c:pt idx="1">
                  <c:v>0.14267222180875533</c:v>
                </c:pt>
                <c:pt idx="2">
                  <c:v>0.11238787948661701</c:v>
                </c:pt>
                <c:pt idx="3">
                  <c:v>8.8574264436872344E-2</c:v>
                </c:pt>
                <c:pt idx="4">
                  <c:v>3.3715186417804882E-2</c:v>
                </c:pt>
                <c:pt idx="7" formatCode="General">
                  <c:v>0</c:v>
                </c:pt>
                <c:pt idx="8" formatCode="General">
                  <c:v>4.8955664613991451E-2</c:v>
                </c:pt>
              </c:numCache>
            </c:numRef>
          </c:yVal>
          <c:smooth val="0"/>
          <c:extLst>
            <c:ext xmlns:c16="http://schemas.microsoft.com/office/drawing/2014/chart" uri="{C3380CC4-5D6E-409C-BE32-E72D297353CC}">
              <c16:uniqueId val="{00000003-0979-4AFC-9DAE-7834DB5CDCD3}"/>
            </c:ext>
          </c:extLst>
        </c:ser>
        <c:dLbls>
          <c:showLegendKey val="0"/>
          <c:showVal val="0"/>
          <c:showCatName val="0"/>
          <c:showSerName val="0"/>
          <c:showPercent val="0"/>
          <c:showBubbleSize val="0"/>
        </c:dLbls>
        <c:axId val="131664128"/>
        <c:axId val="131678592"/>
      </c:scatterChart>
      <c:valAx>
        <c:axId val="131664128"/>
        <c:scaling>
          <c:orientation val="minMax"/>
        </c:scaling>
        <c:delete val="0"/>
        <c:axPos val="b"/>
        <c:title>
          <c:tx>
            <c:rich>
              <a:bodyPr rot="0"/>
              <a:lstStyle/>
              <a:p>
                <a:pPr>
                  <a:defRPr sz="1000" b="1" strike="noStrike" spc="-1">
                    <a:solidFill>
                      <a:srgbClr val="000000"/>
                    </a:solidFill>
                    <a:latin typeface="Arial"/>
                    <a:ea typeface="Arial"/>
                  </a:defRPr>
                </a:pPr>
                <a:r>
                  <a:rPr lang="de-DE" sz="1000" b="1" strike="noStrike" spc="-1">
                    <a:solidFill>
                      <a:srgbClr val="000000"/>
                    </a:solidFill>
                    <a:latin typeface="Arial"/>
                    <a:ea typeface="Arial"/>
                  </a:rPr>
                  <a:t>Proteinstandard [mg/ml]</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Arial"/>
                <a:ea typeface="Arial"/>
              </a:defRPr>
            </a:pPr>
            <a:endParaRPr lang="de-DE"/>
          </a:p>
        </c:txPr>
        <c:crossAx val="131678592"/>
        <c:crosses val="autoZero"/>
        <c:crossBetween val="midCat"/>
      </c:valAx>
      <c:valAx>
        <c:axId val="131678592"/>
        <c:scaling>
          <c:orientation val="minMax"/>
        </c:scaling>
        <c:delete val="0"/>
        <c:axPos val="l"/>
        <c:majorGridlines>
          <c:spPr>
            <a:ln w="9360">
              <a:solidFill>
                <a:srgbClr val="878787"/>
              </a:solidFill>
              <a:round/>
            </a:ln>
          </c:spPr>
        </c:majorGridlines>
        <c:title>
          <c:tx>
            <c:rich>
              <a:bodyPr rot="-5400000"/>
              <a:lstStyle/>
              <a:p>
                <a:pPr>
                  <a:defRPr sz="1000" b="1" strike="noStrike" spc="-1">
                    <a:solidFill>
                      <a:srgbClr val="000000"/>
                    </a:solidFill>
                    <a:latin typeface="Arial"/>
                    <a:ea typeface="Arial"/>
                  </a:defRPr>
                </a:pPr>
                <a:r>
                  <a:rPr lang="de-DE" sz="1000" b="1" strike="noStrike" spc="-1">
                    <a:solidFill>
                      <a:srgbClr val="000000"/>
                    </a:solidFill>
                    <a:latin typeface="Arial"/>
                    <a:ea typeface="Arial"/>
                  </a:rPr>
                  <a:t>Extinktion (600 nm)</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Arial"/>
                <a:ea typeface="Calibri"/>
              </a:defRPr>
            </a:pPr>
            <a:endParaRPr lang="de-DE"/>
          </a:p>
        </c:txPr>
        <c:crossAx val="131664128"/>
        <c:crosses val="autoZero"/>
        <c:crossBetween val="midCat"/>
      </c:valAx>
      <c:spPr>
        <a:solidFill>
          <a:srgbClr val="FFFFFF"/>
        </a:solidFill>
        <a:ln>
          <a:noFill/>
        </a:ln>
      </c:spPr>
    </c:plotArea>
    <c:legend>
      <c:legendPos val="r"/>
      <c:layout>
        <c:manualLayout>
          <c:xMode val="edge"/>
          <c:yMode val="edge"/>
          <c:x val="0.69676801046556902"/>
          <c:y val="0.48730205599300103"/>
          <c:w val="0.30008134826995198"/>
          <c:h val="0.23749999999999999"/>
        </c:manualLayout>
      </c:layout>
      <c:overlay val="0"/>
      <c:spPr>
        <a:noFill/>
        <a:ln>
          <a:noFill/>
        </a:ln>
      </c:spPr>
      <c:txPr>
        <a:bodyPr/>
        <a:lstStyle/>
        <a:p>
          <a:pPr>
            <a:defRPr sz="1000" b="0" strike="noStrike" spc="-1">
              <a:solidFill>
                <a:srgbClr val="000000"/>
              </a:solidFill>
              <a:latin typeface="Arial"/>
              <a:ea typeface="Calibri"/>
            </a:defRPr>
          </a:pPr>
          <a:endParaRPr lang="de-DE"/>
        </a:p>
      </c:txPr>
    </c:legend>
    <c:plotVisOnly val="1"/>
    <c:dispBlanksAs val="gap"/>
    <c:showDLblsOverMax val="1"/>
  </c:chart>
  <c:spPr>
    <a:solidFill>
      <a:srgbClr val="FFFFFF"/>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CD276 mRNA Expression in Cal29   </a:t>
            </a:r>
          </a:p>
        </c:rich>
      </c:tx>
      <c:layout>
        <c:manualLayout>
          <c:xMode val="edge"/>
          <c:yMode val="edge"/>
          <c:x val="0.29185151460250991"/>
          <c:y val="3.13984273237661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Tabelle1!$B$2</c:f>
              <c:strCache>
                <c:ptCount val="1"/>
                <c:pt idx="0">
                  <c:v> CD276 mRNa Expression in Cal29   </c:v>
                </c:pt>
              </c:strCache>
            </c:strRef>
          </c:tx>
          <c:spPr>
            <a:solidFill>
              <a:schemeClr val="tx1"/>
            </a:solidFill>
            <a:ln>
              <a:noFill/>
            </a:ln>
            <a:effectLst/>
          </c:spPr>
          <c:invertIfNegative val="0"/>
          <c:cat>
            <c:strRef>
              <c:f>Tabelle1!$A$3:$A$13</c:f>
              <c:strCache>
                <c:ptCount val="11"/>
                <c:pt idx="0">
                  <c:v>Cal29 OM Grundtestung</c:v>
                </c:pt>
                <c:pt idx="1">
                  <c:v>Cal29 OM 1. Woche </c:v>
                </c:pt>
                <c:pt idx="2">
                  <c:v>Cal29 OM 2. Woche</c:v>
                </c:pt>
                <c:pt idx="3">
                  <c:v>Cal29 OM 3. Woche</c:v>
                </c:pt>
                <c:pt idx="4">
                  <c:v>Cal29 OM 4. Woche</c:v>
                </c:pt>
                <c:pt idx="6">
                  <c:v>Cal29 M Grundtestung</c:v>
                </c:pt>
                <c:pt idx="7">
                  <c:v>Cal29 M 1.Woche</c:v>
                </c:pt>
                <c:pt idx="8">
                  <c:v>Cal29 M 2. Woche</c:v>
                </c:pt>
                <c:pt idx="9">
                  <c:v>Cal29 M 3. Woche</c:v>
                </c:pt>
                <c:pt idx="10">
                  <c:v>Cal29 M 4. woche</c:v>
                </c:pt>
              </c:strCache>
            </c:strRef>
          </c:cat>
          <c:val>
            <c:numRef>
              <c:f>Tabelle1!$B$3:$B$13</c:f>
              <c:numCache>
                <c:formatCode>General</c:formatCode>
                <c:ptCount val="11"/>
                <c:pt idx="0">
                  <c:v>5.0700000000000002E-2</c:v>
                </c:pt>
                <c:pt idx="1">
                  <c:v>4.65E-2</c:v>
                </c:pt>
                <c:pt idx="2">
                  <c:v>5.0900000000000001E-2</c:v>
                </c:pt>
                <c:pt idx="3">
                  <c:v>3.85E-2</c:v>
                </c:pt>
                <c:pt idx="4">
                  <c:v>4.1599999999999998E-2</c:v>
                </c:pt>
                <c:pt idx="6">
                  <c:v>3.2899999999999999E-2</c:v>
                </c:pt>
                <c:pt idx="7">
                  <c:v>2.4899999999999999E-2</c:v>
                </c:pt>
                <c:pt idx="8">
                  <c:v>2.81E-2</c:v>
                </c:pt>
                <c:pt idx="9">
                  <c:v>2.8899999999999999E-2</c:v>
                </c:pt>
                <c:pt idx="10">
                  <c:v>2.76E-2</c:v>
                </c:pt>
              </c:numCache>
            </c:numRef>
          </c:val>
          <c:extLst>
            <c:ext xmlns:c16="http://schemas.microsoft.com/office/drawing/2014/chart" uri="{C3380CC4-5D6E-409C-BE32-E72D297353CC}">
              <c16:uniqueId val="{00000000-9D9B-434B-96CE-A98D239DA953}"/>
            </c:ext>
          </c:extLst>
        </c:ser>
        <c:dLbls>
          <c:showLegendKey val="0"/>
          <c:showVal val="0"/>
          <c:showCatName val="0"/>
          <c:showSerName val="0"/>
          <c:showPercent val="0"/>
          <c:showBubbleSize val="0"/>
        </c:dLbls>
        <c:gapWidth val="219"/>
        <c:overlap val="-27"/>
        <c:axId val="506837736"/>
        <c:axId val="506839704"/>
      </c:barChart>
      <c:catAx>
        <c:axId val="50683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839704"/>
        <c:crosses val="autoZero"/>
        <c:auto val="1"/>
        <c:lblAlgn val="ctr"/>
        <c:lblOffset val="100"/>
        <c:noMultiLvlLbl val="0"/>
      </c:catAx>
      <c:valAx>
        <c:axId val="50683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83773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CD276 mRNA Expression in T24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Tabelle1!$B$15</c:f>
              <c:strCache>
                <c:ptCount val="1"/>
                <c:pt idx="0">
                  <c:v>CD276 mRNa Expression in T24   </c:v>
                </c:pt>
              </c:strCache>
            </c:strRef>
          </c:tx>
          <c:spPr>
            <a:solidFill>
              <a:schemeClr val="tx1"/>
            </a:solidFill>
            <a:ln>
              <a:noFill/>
            </a:ln>
            <a:effectLst/>
          </c:spPr>
          <c:invertIfNegative val="0"/>
          <c:cat>
            <c:strRef>
              <c:f>Tabelle1!$A$16:$A$26</c:f>
              <c:strCache>
                <c:ptCount val="11"/>
                <c:pt idx="0">
                  <c:v>T24 OM Grundtestung</c:v>
                </c:pt>
                <c:pt idx="1">
                  <c:v>T24 OM 1. Woche</c:v>
                </c:pt>
                <c:pt idx="2">
                  <c:v>T24 OM 2. Woche</c:v>
                </c:pt>
                <c:pt idx="3">
                  <c:v>T24 OM 3.Woche</c:v>
                </c:pt>
                <c:pt idx="4">
                  <c:v>T24 OM 4. Woche</c:v>
                </c:pt>
                <c:pt idx="6">
                  <c:v>T24 M Grundtestung</c:v>
                </c:pt>
                <c:pt idx="7">
                  <c:v>T24 M 1.Woche</c:v>
                </c:pt>
                <c:pt idx="8">
                  <c:v>T24 M 2. Woche</c:v>
                </c:pt>
                <c:pt idx="9">
                  <c:v>T24 M 3. Woche</c:v>
                </c:pt>
                <c:pt idx="10">
                  <c:v>T24 M RNA 4. woche</c:v>
                </c:pt>
              </c:strCache>
            </c:strRef>
          </c:cat>
          <c:val>
            <c:numRef>
              <c:f>Tabelle1!$B$16:$B$26</c:f>
              <c:numCache>
                <c:formatCode>General</c:formatCode>
                <c:ptCount val="11"/>
                <c:pt idx="0">
                  <c:v>6.6899999999999998E-3</c:v>
                </c:pt>
                <c:pt idx="1">
                  <c:v>6.2199999999999998E-3</c:v>
                </c:pt>
                <c:pt idx="2">
                  <c:v>6.8100000000000001E-3</c:v>
                </c:pt>
                <c:pt idx="3">
                  <c:v>6.6499999999999997E-3</c:v>
                </c:pt>
                <c:pt idx="4">
                  <c:v>6.7999999999999996E-3</c:v>
                </c:pt>
                <c:pt idx="6">
                  <c:v>8.5500000000000003E-3</c:v>
                </c:pt>
                <c:pt idx="7">
                  <c:v>1.3899999999999999E-2</c:v>
                </c:pt>
                <c:pt idx="8">
                  <c:v>1.2200000000000001E-2</c:v>
                </c:pt>
                <c:pt idx="9">
                  <c:v>8.8900000000000003E-3</c:v>
                </c:pt>
                <c:pt idx="10">
                  <c:v>9.1400000000000006E-3</c:v>
                </c:pt>
              </c:numCache>
            </c:numRef>
          </c:val>
          <c:extLst>
            <c:ext xmlns:c16="http://schemas.microsoft.com/office/drawing/2014/chart" uri="{C3380CC4-5D6E-409C-BE32-E72D297353CC}">
              <c16:uniqueId val="{00000000-7E30-4286-97C8-FEB4459082E1}"/>
            </c:ext>
          </c:extLst>
        </c:ser>
        <c:dLbls>
          <c:showLegendKey val="0"/>
          <c:showVal val="0"/>
          <c:showCatName val="0"/>
          <c:showSerName val="0"/>
          <c:showPercent val="0"/>
          <c:showBubbleSize val="0"/>
        </c:dLbls>
        <c:gapWidth val="219"/>
        <c:overlap val="-27"/>
        <c:axId val="460372552"/>
        <c:axId val="460373536"/>
      </c:barChart>
      <c:catAx>
        <c:axId val="46037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60373536"/>
        <c:crosses val="autoZero"/>
        <c:auto val="1"/>
        <c:lblAlgn val="ctr"/>
        <c:lblOffset val="100"/>
        <c:noMultiLvlLbl val="0"/>
      </c:catAx>
      <c:valAx>
        <c:axId val="46037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60372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CD276 mRNA Expression  in HT1197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Tabelle1!$B$28</c:f>
              <c:strCache>
                <c:ptCount val="1"/>
                <c:pt idx="0">
                  <c:v>CD276 mRNa Expression  in HT1197 </c:v>
                </c:pt>
              </c:strCache>
            </c:strRef>
          </c:tx>
          <c:spPr>
            <a:solidFill>
              <a:schemeClr val="tx1"/>
            </a:solidFill>
            <a:ln>
              <a:noFill/>
            </a:ln>
            <a:effectLst/>
          </c:spPr>
          <c:invertIfNegative val="0"/>
          <c:cat>
            <c:strRef>
              <c:f>Tabelle1!$A$29:$A$39</c:f>
              <c:strCache>
                <c:ptCount val="11"/>
                <c:pt idx="0">
                  <c:v>HT1197 OM Grundtestung</c:v>
                </c:pt>
                <c:pt idx="1">
                  <c:v>HT1197 OM 2. Woche</c:v>
                </c:pt>
                <c:pt idx="2">
                  <c:v>HT1197 OM 4. Woche</c:v>
                </c:pt>
                <c:pt idx="3">
                  <c:v>HT1197 OM 6. Woche</c:v>
                </c:pt>
                <c:pt idx="4">
                  <c:v>HT1197 OM 8. Woche</c:v>
                </c:pt>
                <c:pt idx="6">
                  <c:v>HT1197 M Grundtestung</c:v>
                </c:pt>
                <c:pt idx="7">
                  <c:v>HT1197 M 2. Woche</c:v>
                </c:pt>
                <c:pt idx="8">
                  <c:v>HT1197 M 4. Woche</c:v>
                </c:pt>
                <c:pt idx="9">
                  <c:v>HT1197 M 6. Woche</c:v>
                </c:pt>
                <c:pt idx="10">
                  <c:v>HT1197 M 8. Woche</c:v>
                </c:pt>
              </c:strCache>
            </c:strRef>
          </c:cat>
          <c:val>
            <c:numRef>
              <c:f>Tabelle1!$B$29:$B$39</c:f>
              <c:numCache>
                <c:formatCode>General</c:formatCode>
                <c:ptCount val="11"/>
                <c:pt idx="0">
                  <c:v>5.8799999999999998E-2</c:v>
                </c:pt>
                <c:pt idx="1">
                  <c:v>2.8400000000000002E-2</c:v>
                </c:pt>
                <c:pt idx="2">
                  <c:v>3.4000000000000002E-2</c:v>
                </c:pt>
                <c:pt idx="3">
                  <c:v>2.7199999999999998E-2</c:v>
                </c:pt>
                <c:pt idx="4">
                  <c:v>1.7100000000000001E-2</c:v>
                </c:pt>
                <c:pt idx="6">
                  <c:v>6.7999999999999996E-3</c:v>
                </c:pt>
                <c:pt idx="7">
                  <c:v>0.02</c:v>
                </c:pt>
                <c:pt idx="8">
                  <c:v>2.7099999999999999E-2</c:v>
                </c:pt>
                <c:pt idx="9">
                  <c:v>2.6800000000000001E-2</c:v>
                </c:pt>
                <c:pt idx="10">
                  <c:v>2.0199999999999999E-2</c:v>
                </c:pt>
              </c:numCache>
            </c:numRef>
          </c:val>
          <c:extLst>
            <c:ext xmlns:c16="http://schemas.microsoft.com/office/drawing/2014/chart" uri="{C3380CC4-5D6E-409C-BE32-E72D297353CC}">
              <c16:uniqueId val="{00000000-856D-492D-9CA4-121CD0FA19ED}"/>
            </c:ext>
          </c:extLst>
        </c:ser>
        <c:dLbls>
          <c:showLegendKey val="0"/>
          <c:showVal val="0"/>
          <c:showCatName val="0"/>
          <c:showSerName val="0"/>
          <c:showPercent val="0"/>
          <c:showBubbleSize val="0"/>
        </c:dLbls>
        <c:gapWidth val="219"/>
        <c:overlap val="-27"/>
        <c:axId val="174478840"/>
        <c:axId val="174478184"/>
      </c:barChart>
      <c:catAx>
        <c:axId val="17447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4478184"/>
        <c:crosses val="autoZero"/>
        <c:auto val="1"/>
        <c:lblAlgn val="ctr"/>
        <c:lblOffset val="100"/>
        <c:noMultiLvlLbl val="0"/>
      </c:catAx>
      <c:valAx>
        <c:axId val="174478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447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43307086614172"/>
          <c:y val="0.14953134463961235"/>
          <c:w val="0.80345581802274713"/>
          <c:h val="0.72423455481526344"/>
        </c:manualLayout>
      </c:layout>
      <c:barChart>
        <c:barDir val="col"/>
        <c:grouping val="clustered"/>
        <c:varyColors val="0"/>
        <c:ser>
          <c:idx val="0"/>
          <c:order val="0"/>
          <c:spPr>
            <a:solidFill>
              <a:schemeClr val="tx1"/>
            </a:solidFill>
          </c:spPr>
          <c:invertIfNegative val="0"/>
          <c:cat>
            <c:strRef>
              <c:f>'Auswertung 2'!$G$37:$G$38</c:f>
              <c:strCache>
                <c:ptCount val="2"/>
                <c:pt idx="0">
                  <c:v>HT1197 OM</c:v>
                </c:pt>
                <c:pt idx="1">
                  <c:v>HT1197 M</c:v>
                </c:pt>
              </c:strCache>
            </c:strRef>
          </c:cat>
          <c:val>
            <c:numRef>
              <c:f>'Auswertung 2'!$H$37:$H$38</c:f>
              <c:numCache>
                <c:formatCode>General</c:formatCode>
                <c:ptCount val="2"/>
                <c:pt idx="0">
                  <c:v>3.3100000000000004E-2</c:v>
                </c:pt>
                <c:pt idx="1">
                  <c:v>2.018E-2</c:v>
                </c:pt>
              </c:numCache>
            </c:numRef>
          </c:val>
          <c:extLst>
            <c:ext xmlns:c16="http://schemas.microsoft.com/office/drawing/2014/chart" uri="{C3380CC4-5D6E-409C-BE32-E72D297353CC}">
              <c16:uniqueId val="{00000000-3985-4B91-8BE1-87FD49ABC4D3}"/>
            </c:ext>
          </c:extLst>
        </c:ser>
        <c:dLbls>
          <c:showLegendKey val="0"/>
          <c:showVal val="0"/>
          <c:showCatName val="0"/>
          <c:showSerName val="0"/>
          <c:showPercent val="0"/>
          <c:showBubbleSize val="0"/>
        </c:dLbls>
        <c:gapWidth val="150"/>
        <c:axId val="209772928"/>
        <c:axId val="209774464"/>
      </c:barChart>
      <c:catAx>
        <c:axId val="209772928"/>
        <c:scaling>
          <c:orientation val="minMax"/>
        </c:scaling>
        <c:delete val="0"/>
        <c:axPos val="b"/>
        <c:title>
          <c:tx>
            <c:rich>
              <a:bodyPr/>
              <a:lstStyle/>
              <a:p>
                <a:pPr>
                  <a:defRPr/>
                </a:pPr>
                <a:r>
                  <a:rPr lang="de-DE" sz="1400" b="0">
                    <a:solidFill>
                      <a:schemeClr val="bg2">
                        <a:lumMod val="50000"/>
                      </a:schemeClr>
                    </a:solidFill>
                  </a:rPr>
                  <a:t>Mittelwert der CD276 mRNA</a:t>
                </a:r>
                <a:r>
                  <a:rPr lang="de-DE" sz="1400" b="0" baseline="0">
                    <a:solidFill>
                      <a:schemeClr val="bg2">
                        <a:lumMod val="50000"/>
                      </a:schemeClr>
                    </a:solidFill>
                  </a:rPr>
                  <a:t> Expression</a:t>
                </a:r>
                <a:endParaRPr lang="de-DE" sz="1400" b="0">
                  <a:solidFill>
                    <a:schemeClr val="bg2">
                      <a:lumMod val="50000"/>
                    </a:schemeClr>
                  </a:solidFill>
                </a:endParaRPr>
              </a:p>
            </c:rich>
          </c:tx>
          <c:layout>
            <c:manualLayout>
              <c:xMode val="edge"/>
              <c:yMode val="edge"/>
              <c:x val="0.20538998250218721"/>
              <c:y val="2.8689430648092065E-2"/>
            </c:manualLayout>
          </c:layout>
          <c:overlay val="0"/>
        </c:title>
        <c:numFmt formatCode="General" sourceLinked="0"/>
        <c:majorTickMark val="out"/>
        <c:minorTickMark val="none"/>
        <c:tickLblPos val="nextTo"/>
        <c:crossAx val="209774464"/>
        <c:crosses val="autoZero"/>
        <c:auto val="1"/>
        <c:lblAlgn val="ctr"/>
        <c:lblOffset val="100"/>
        <c:noMultiLvlLbl val="0"/>
      </c:catAx>
      <c:valAx>
        <c:axId val="209774464"/>
        <c:scaling>
          <c:orientation val="minMax"/>
        </c:scaling>
        <c:delete val="0"/>
        <c:axPos val="l"/>
        <c:majorGridlines/>
        <c:numFmt formatCode="General" sourceLinked="1"/>
        <c:majorTickMark val="out"/>
        <c:minorTickMark val="none"/>
        <c:tickLblPos val="nextTo"/>
        <c:crossAx val="20977292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CD276 mRNA Expression in HL 20/31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Tabelle1!$B$41</c:f>
              <c:strCache>
                <c:ptCount val="1"/>
                <c:pt idx="0">
                  <c:v> CD276 mRNa Expression in HL 20/31  </c:v>
                </c:pt>
              </c:strCache>
            </c:strRef>
          </c:tx>
          <c:spPr>
            <a:solidFill>
              <a:schemeClr val="tx1"/>
            </a:solidFill>
            <a:ln>
              <a:noFill/>
            </a:ln>
            <a:effectLst/>
          </c:spPr>
          <c:invertIfNegative val="0"/>
          <c:cat>
            <c:strRef>
              <c:f>Tabelle1!$A$42:$A$43</c:f>
              <c:strCache>
                <c:ptCount val="2"/>
                <c:pt idx="0">
                  <c:v>HL20/31 OM P2 </c:v>
                </c:pt>
                <c:pt idx="1">
                  <c:v>HL20/31 M P2</c:v>
                </c:pt>
              </c:strCache>
            </c:strRef>
          </c:cat>
          <c:val>
            <c:numRef>
              <c:f>Tabelle1!$B$42:$B$43</c:f>
              <c:numCache>
                <c:formatCode>General</c:formatCode>
                <c:ptCount val="2"/>
                <c:pt idx="0">
                  <c:v>2.2599999999999999E-2</c:v>
                </c:pt>
                <c:pt idx="1">
                  <c:v>9.2599999999999991E-3</c:v>
                </c:pt>
              </c:numCache>
            </c:numRef>
          </c:val>
          <c:extLst>
            <c:ext xmlns:c16="http://schemas.microsoft.com/office/drawing/2014/chart" uri="{C3380CC4-5D6E-409C-BE32-E72D297353CC}">
              <c16:uniqueId val="{00000000-011A-41F4-9CE7-0C95097DF696}"/>
            </c:ext>
          </c:extLst>
        </c:ser>
        <c:dLbls>
          <c:showLegendKey val="0"/>
          <c:showVal val="0"/>
          <c:showCatName val="0"/>
          <c:showSerName val="0"/>
          <c:showPercent val="0"/>
          <c:showBubbleSize val="0"/>
        </c:dLbls>
        <c:gapWidth val="219"/>
        <c:overlap val="-27"/>
        <c:axId val="454267848"/>
        <c:axId val="454266864"/>
      </c:barChart>
      <c:catAx>
        <c:axId val="45426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4266864"/>
        <c:crosses val="autoZero"/>
        <c:auto val="1"/>
        <c:lblAlgn val="ctr"/>
        <c:lblOffset val="100"/>
        <c:noMultiLvlLbl val="0"/>
      </c:catAx>
      <c:valAx>
        <c:axId val="45426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4267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CD276 mRNA Expression  in HL 20/32 </a:t>
            </a:r>
          </a:p>
        </c:rich>
      </c:tx>
      <c:layout>
        <c:manualLayout>
          <c:xMode val="edge"/>
          <c:yMode val="edge"/>
          <c:x val="2.4523314083975515E-2"/>
          <c:y val="3.62570194446109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Tabelle1!$B$46</c:f>
              <c:strCache>
                <c:ptCount val="1"/>
                <c:pt idx="0">
                  <c:v>CD276 mRNa Expression  in HL 20/32 </c:v>
                </c:pt>
              </c:strCache>
            </c:strRef>
          </c:tx>
          <c:spPr>
            <a:solidFill>
              <a:schemeClr val="tx1"/>
            </a:solidFill>
            <a:ln>
              <a:noFill/>
            </a:ln>
            <a:effectLst/>
          </c:spPr>
          <c:invertIfNegative val="0"/>
          <c:cat>
            <c:strRef>
              <c:f>Tabelle1!$A$47:$A$48</c:f>
              <c:strCache>
                <c:ptCount val="2"/>
                <c:pt idx="0">
                  <c:v>HL20/32 OM P2</c:v>
                </c:pt>
                <c:pt idx="1">
                  <c:v>HL20/32 M P2 </c:v>
                </c:pt>
              </c:strCache>
            </c:strRef>
          </c:cat>
          <c:val>
            <c:numRef>
              <c:f>Tabelle1!$B$47:$B$48</c:f>
              <c:numCache>
                <c:formatCode>General</c:formatCode>
                <c:ptCount val="2"/>
                <c:pt idx="0">
                  <c:v>1.6299999999999999E-2</c:v>
                </c:pt>
                <c:pt idx="1">
                  <c:v>1.7000000000000001E-2</c:v>
                </c:pt>
              </c:numCache>
            </c:numRef>
          </c:val>
          <c:extLst>
            <c:ext xmlns:c16="http://schemas.microsoft.com/office/drawing/2014/chart" uri="{C3380CC4-5D6E-409C-BE32-E72D297353CC}">
              <c16:uniqueId val="{00000000-5524-44E3-94EC-FEE6E49E3FDD}"/>
            </c:ext>
          </c:extLst>
        </c:ser>
        <c:dLbls>
          <c:showLegendKey val="0"/>
          <c:showVal val="0"/>
          <c:showCatName val="0"/>
          <c:showSerName val="0"/>
          <c:showPercent val="0"/>
          <c:showBubbleSize val="0"/>
        </c:dLbls>
        <c:gapWidth val="219"/>
        <c:overlap val="-27"/>
        <c:axId val="174476872"/>
        <c:axId val="174477856"/>
      </c:barChart>
      <c:catAx>
        <c:axId val="17447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4477856"/>
        <c:crosses val="autoZero"/>
        <c:auto val="1"/>
        <c:lblAlgn val="ctr"/>
        <c:lblOffset val="100"/>
        <c:noMultiLvlLbl val="0"/>
      </c:catAx>
      <c:valAx>
        <c:axId val="17447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447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Verhältnis CD276 zu ß-Actin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strRef>
              <c:f>Tabelle1!$D$4:$D$20</c:f>
              <c:strCache>
                <c:ptCount val="17"/>
                <c:pt idx="0">
                  <c:v>Cal29 OM 1. Woche</c:v>
                </c:pt>
                <c:pt idx="1">
                  <c:v>Cal29 OM 4. Woche</c:v>
                </c:pt>
                <c:pt idx="2">
                  <c:v>Cal29 M 1. Woche</c:v>
                </c:pt>
                <c:pt idx="3">
                  <c:v>Cal29 M 4. Woche</c:v>
                </c:pt>
                <c:pt idx="5">
                  <c:v>T24 OM 1.Woche</c:v>
                </c:pt>
                <c:pt idx="6">
                  <c:v>T24 OM 4. Woche</c:v>
                </c:pt>
                <c:pt idx="7">
                  <c:v>T24 M 1. Woche</c:v>
                </c:pt>
                <c:pt idx="8">
                  <c:v>T24 M 4. Woche</c:v>
                </c:pt>
                <c:pt idx="10">
                  <c:v>HT1197 OM  1. Passage</c:v>
                </c:pt>
                <c:pt idx="11">
                  <c:v>HT1197 OM 4. Passage</c:v>
                </c:pt>
                <c:pt idx="12">
                  <c:v>HT1197 M  1. Passage</c:v>
                </c:pt>
                <c:pt idx="13">
                  <c:v>HT1197 M 4. Passage</c:v>
                </c:pt>
                <c:pt idx="15">
                  <c:v>HL2031  OM</c:v>
                </c:pt>
                <c:pt idx="16">
                  <c:v>HL2031  M</c:v>
                </c:pt>
              </c:strCache>
            </c:strRef>
          </c:cat>
          <c:val>
            <c:numRef>
              <c:f>Tabelle1!$E$4:$E$20</c:f>
              <c:numCache>
                <c:formatCode>General</c:formatCode>
                <c:ptCount val="17"/>
                <c:pt idx="0">
                  <c:v>0.41468682505399568</c:v>
                </c:pt>
                <c:pt idx="1">
                  <c:v>0.23243243243243245</c:v>
                </c:pt>
                <c:pt idx="2">
                  <c:v>0.18279569892473119</c:v>
                </c:pt>
                <c:pt idx="3">
                  <c:v>0.24840764331210191</c:v>
                </c:pt>
                <c:pt idx="5">
                  <c:v>6.9615384615384621E-2</c:v>
                </c:pt>
                <c:pt idx="6">
                  <c:v>5.4681647940074907E-2</c:v>
                </c:pt>
                <c:pt idx="7">
                  <c:v>3.3139534883720928E-2</c:v>
                </c:pt>
                <c:pt idx="8">
                  <c:v>5.0167597765363128E-2</c:v>
                </c:pt>
                <c:pt idx="10">
                  <c:v>0.17333333333333334</c:v>
                </c:pt>
                <c:pt idx="11">
                  <c:v>0.30369230769230771</c:v>
                </c:pt>
                <c:pt idx="12">
                  <c:v>0.37803030303030305</c:v>
                </c:pt>
                <c:pt idx="13">
                  <c:v>0.3253012048192771</c:v>
                </c:pt>
                <c:pt idx="15">
                  <c:v>4.8307692307692308E-2</c:v>
                </c:pt>
                <c:pt idx="16">
                  <c:v>2.6943396226415093E-2</c:v>
                </c:pt>
              </c:numCache>
            </c:numRef>
          </c:val>
          <c:extLst>
            <c:ext xmlns:c16="http://schemas.microsoft.com/office/drawing/2014/chart" uri="{C3380CC4-5D6E-409C-BE32-E72D297353CC}">
              <c16:uniqueId val="{00000000-BD69-4B15-AFDB-3EE086F3FD31}"/>
            </c:ext>
          </c:extLst>
        </c:ser>
        <c:dLbls>
          <c:showLegendKey val="0"/>
          <c:showVal val="0"/>
          <c:showCatName val="0"/>
          <c:showSerName val="0"/>
          <c:showPercent val="0"/>
          <c:showBubbleSize val="0"/>
        </c:dLbls>
        <c:gapWidth val="219"/>
        <c:overlap val="-27"/>
        <c:axId val="418602320"/>
        <c:axId val="418603960"/>
      </c:barChart>
      <c:catAx>
        <c:axId val="41860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8603960"/>
        <c:crosses val="autoZero"/>
        <c:auto val="1"/>
        <c:lblAlgn val="ctr"/>
        <c:lblOffset val="100"/>
        <c:noMultiLvlLbl val="0"/>
      </c:catAx>
      <c:valAx>
        <c:axId val="418603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8602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Mittelwert</a:t>
            </a:r>
            <a:r>
              <a:rPr lang="en-US" sz="1000" baseline="0"/>
              <a:t> der</a:t>
            </a:r>
            <a:r>
              <a:rPr lang="en-US" sz="1000"/>
              <a:t> CD276</a:t>
            </a:r>
            <a:r>
              <a:rPr lang="en-US" sz="1000" baseline="0"/>
              <a:t> Expression auf der Oberfläche verschiedener Zelllinien in der  Durchflusscytometrie</a:t>
            </a:r>
            <a:r>
              <a:rPr lang="en-US" sz="1000"/>
              <a:t> </a:t>
            </a:r>
          </a:p>
        </c:rich>
      </c:tx>
      <c:layout>
        <c:manualLayout>
          <c:xMode val="edge"/>
          <c:yMode val="edge"/>
          <c:x val="0.16852077865266843"/>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0735870516185476"/>
          <c:y val="0.20453703703703704"/>
          <c:w val="0.86486351706036746"/>
          <c:h val="0.64183654126567524"/>
        </c:manualLayout>
      </c:layout>
      <c:barChart>
        <c:barDir val="col"/>
        <c:grouping val="clustered"/>
        <c:varyColors val="0"/>
        <c:ser>
          <c:idx val="0"/>
          <c:order val="0"/>
          <c:tx>
            <c:strRef>
              <c:f>Tabelle1!$B$3</c:f>
              <c:strCache>
                <c:ptCount val="1"/>
                <c:pt idx="0">
                  <c:v>Mean </c:v>
                </c:pt>
              </c:strCache>
            </c:strRef>
          </c:tx>
          <c:spPr>
            <a:solidFill>
              <a:schemeClr val="tx1"/>
            </a:solidFill>
            <a:ln>
              <a:solidFill>
                <a:sysClr val="windowText" lastClr="000000"/>
              </a:solidFill>
            </a:ln>
            <a:effectLst/>
          </c:spPr>
          <c:invertIfNegative val="0"/>
          <c:cat>
            <c:strRef>
              <c:f>Tabelle1!$A$4:$A$11</c:f>
              <c:strCache>
                <c:ptCount val="8"/>
                <c:pt idx="0">
                  <c:v>Cal29 OM</c:v>
                </c:pt>
                <c:pt idx="1">
                  <c:v>Cal29 M </c:v>
                </c:pt>
                <c:pt idx="3">
                  <c:v>T24 OM</c:v>
                </c:pt>
                <c:pt idx="4">
                  <c:v>T24 M</c:v>
                </c:pt>
                <c:pt idx="6">
                  <c:v>HT1197 OM</c:v>
                </c:pt>
                <c:pt idx="7">
                  <c:v>HT1197 M</c:v>
                </c:pt>
              </c:strCache>
            </c:strRef>
          </c:cat>
          <c:val>
            <c:numRef>
              <c:f>Tabelle1!$B$4:$B$11</c:f>
              <c:numCache>
                <c:formatCode>General</c:formatCode>
                <c:ptCount val="8"/>
                <c:pt idx="0">
                  <c:v>11738</c:v>
                </c:pt>
                <c:pt idx="1">
                  <c:v>4947</c:v>
                </c:pt>
                <c:pt idx="3">
                  <c:v>2089</c:v>
                </c:pt>
                <c:pt idx="4">
                  <c:v>4309</c:v>
                </c:pt>
                <c:pt idx="6">
                  <c:v>10265</c:v>
                </c:pt>
                <c:pt idx="7">
                  <c:v>10798</c:v>
                </c:pt>
              </c:numCache>
            </c:numRef>
          </c:val>
          <c:extLst>
            <c:ext xmlns:c16="http://schemas.microsoft.com/office/drawing/2014/chart" uri="{C3380CC4-5D6E-409C-BE32-E72D297353CC}">
              <c16:uniqueId val="{00000000-A59A-4276-9761-3FC6556C8A22}"/>
            </c:ext>
          </c:extLst>
        </c:ser>
        <c:dLbls>
          <c:showLegendKey val="0"/>
          <c:showVal val="0"/>
          <c:showCatName val="0"/>
          <c:showSerName val="0"/>
          <c:showPercent val="0"/>
          <c:showBubbleSize val="0"/>
        </c:dLbls>
        <c:gapWidth val="219"/>
        <c:overlap val="-27"/>
        <c:axId val="288450536"/>
        <c:axId val="288450864"/>
      </c:barChart>
      <c:catAx>
        <c:axId val="28845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88450864"/>
        <c:crosses val="autoZero"/>
        <c:auto val="1"/>
        <c:lblAlgn val="ctr"/>
        <c:lblOffset val="100"/>
        <c:noMultiLvlLbl val="0"/>
      </c:catAx>
      <c:valAx>
        <c:axId val="28845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88450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0.75723</cdr:x>
      <cdr:y>0.01847</cdr:y>
    </cdr:from>
    <cdr:to>
      <cdr:x>0.98239</cdr:x>
      <cdr:y>0.2516</cdr:y>
    </cdr:to>
    <cdr:sp macro="" textlink="">
      <cdr:nvSpPr>
        <cdr:cNvPr id="3" name="Textfeld 2">
          <a:extLst xmlns:a="http://schemas.openxmlformats.org/drawingml/2006/main">
            <a:ext uri="{FF2B5EF4-FFF2-40B4-BE49-F238E27FC236}">
              <a16:creationId xmlns:a16="http://schemas.microsoft.com/office/drawing/2014/main" id="{C709CD18-0832-4E66-A277-5BB93030460B}"/>
            </a:ext>
          </a:extLst>
        </cdr:cNvPr>
        <cdr:cNvSpPr txBox="1"/>
      </cdr:nvSpPr>
      <cdr:spPr>
        <a:xfrm xmlns:a="http://schemas.openxmlformats.org/drawingml/2006/main">
          <a:off x="4089072" y="47546"/>
          <a:ext cx="1215873" cy="60015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de-DE" sz="800">
              <a:effectLst/>
              <a:latin typeface="+mn-lt"/>
              <a:ea typeface="+mn-ea"/>
              <a:cs typeface="+mn-cs"/>
            </a:rPr>
            <a:t>M: mit</a:t>
          </a:r>
          <a:r>
            <a:rPr lang="de-DE" sz="800" baseline="0">
              <a:effectLst/>
              <a:latin typeface="+mn-lt"/>
              <a:ea typeface="+mn-ea"/>
              <a:cs typeface="+mn-cs"/>
            </a:rPr>
            <a:t> Mykoplasmen Infektion </a:t>
          </a:r>
          <a:endParaRPr lang="de-DE" sz="800">
            <a:effectLst/>
          </a:endParaRPr>
        </a:p>
        <a:p xmlns:a="http://schemas.openxmlformats.org/drawingml/2006/main">
          <a:r>
            <a:rPr lang="de-DE" sz="800" baseline="0">
              <a:effectLst/>
              <a:latin typeface="+mn-lt"/>
              <a:ea typeface="+mn-ea"/>
              <a:cs typeface="+mn-cs"/>
            </a:rPr>
            <a:t>OM: ohne Mykoplasmen Infektion </a:t>
          </a:r>
          <a:endParaRPr lang="de-DE" sz="800">
            <a:effectLst/>
          </a:endParaRPr>
        </a:p>
        <a:p xmlns:a="http://schemas.openxmlformats.org/drawingml/2006/main">
          <a:endParaRPr lang="de-DE" sz="1100"/>
        </a:p>
      </cdr:txBody>
    </cdr:sp>
  </cdr:relSizeAnchor>
</c:userShapes>
</file>

<file path=word/drawings/drawing2.xml><?xml version="1.0" encoding="utf-8"?>
<c:userShapes xmlns:c="http://schemas.openxmlformats.org/drawingml/2006/chart">
  <cdr:relSizeAnchor xmlns:cdr="http://schemas.openxmlformats.org/drawingml/2006/chartDrawing">
    <cdr:from>
      <cdr:x>0.77078</cdr:x>
      <cdr:y>0.01506</cdr:y>
    </cdr:from>
    <cdr:to>
      <cdr:x>0.9937</cdr:x>
      <cdr:y>0.22026</cdr:y>
    </cdr:to>
    <cdr:sp macro="" textlink="">
      <cdr:nvSpPr>
        <cdr:cNvPr id="2" name="Textfeld 3">
          <a:extLst xmlns:a="http://schemas.openxmlformats.org/drawingml/2006/main">
            <a:ext uri="{FF2B5EF4-FFF2-40B4-BE49-F238E27FC236}">
              <a16:creationId xmlns:a16="http://schemas.microsoft.com/office/drawing/2014/main" id="{B9C4DD04-5ED2-4B3D-99D3-9B548FC30DFE}"/>
            </a:ext>
          </a:extLst>
        </cdr:cNvPr>
        <cdr:cNvSpPr txBox="1"/>
      </cdr:nvSpPr>
      <cdr:spPr>
        <a:xfrm xmlns:a="http://schemas.openxmlformats.org/drawingml/2006/main">
          <a:off x="4572001" y="43329"/>
          <a:ext cx="1322294" cy="59017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de-DE" sz="800"/>
            <a:t>M: mit</a:t>
          </a:r>
          <a:r>
            <a:rPr lang="de-DE" sz="800" baseline="0"/>
            <a:t> Mykoplasmen Infektion </a:t>
          </a:r>
        </a:p>
        <a:p xmlns:a="http://schemas.openxmlformats.org/drawingml/2006/main">
          <a:r>
            <a:rPr lang="de-DE" sz="800" baseline="0"/>
            <a:t>OM: ohne Mykoplasmen Infektion </a:t>
          </a:r>
          <a:endParaRPr lang="de-DE" sz="800"/>
        </a:p>
      </cdr:txBody>
    </cdr:sp>
  </cdr:relSizeAnchor>
</c:userShapes>
</file>

<file path=word/drawings/drawing3.xml><?xml version="1.0" encoding="utf-8"?>
<c:userShapes xmlns:c="http://schemas.openxmlformats.org/drawingml/2006/chart">
  <cdr:relSizeAnchor xmlns:cdr="http://schemas.openxmlformats.org/drawingml/2006/chartDrawing">
    <cdr:from>
      <cdr:x>0.76423</cdr:x>
      <cdr:y>0.02321</cdr:y>
    </cdr:from>
    <cdr:to>
      <cdr:x>0.98715</cdr:x>
      <cdr:y>0.2316</cdr:y>
    </cdr:to>
    <cdr:sp macro="" textlink="">
      <cdr:nvSpPr>
        <cdr:cNvPr id="2" name="Textfeld 3">
          <a:extLst xmlns:a="http://schemas.openxmlformats.org/drawingml/2006/main">
            <a:ext uri="{FF2B5EF4-FFF2-40B4-BE49-F238E27FC236}">
              <a16:creationId xmlns:a16="http://schemas.microsoft.com/office/drawing/2014/main" id="{628065C6-8753-41EE-BED1-D95AB0509714}"/>
            </a:ext>
          </a:extLst>
        </cdr:cNvPr>
        <cdr:cNvSpPr txBox="1"/>
      </cdr:nvSpPr>
      <cdr:spPr>
        <a:xfrm xmlns:a="http://schemas.openxmlformats.org/drawingml/2006/main">
          <a:off x="4533153" y="65741"/>
          <a:ext cx="1322294" cy="59017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de-DE" sz="800"/>
            <a:t>M: mit</a:t>
          </a:r>
          <a:r>
            <a:rPr lang="de-DE" sz="800" baseline="0"/>
            <a:t> Mykoplasmen Infektion </a:t>
          </a:r>
        </a:p>
        <a:p xmlns:a="http://schemas.openxmlformats.org/drawingml/2006/main">
          <a:r>
            <a:rPr lang="de-DE" sz="800" baseline="0"/>
            <a:t>OM: ohne Mykoplasmen Infektion </a:t>
          </a:r>
          <a:endParaRPr lang="de-DE" sz="800"/>
        </a:p>
      </cdr:txBody>
    </cdr:sp>
  </cdr:relSizeAnchor>
</c:userShapes>
</file>

<file path=word/drawings/drawing4.xml><?xml version="1.0" encoding="utf-8"?>
<c:userShapes xmlns:c="http://schemas.openxmlformats.org/drawingml/2006/chart">
  <cdr:relSizeAnchor xmlns:cdr="http://schemas.openxmlformats.org/drawingml/2006/chartDrawing">
    <cdr:from>
      <cdr:x>0.6617</cdr:x>
      <cdr:y>0.13565</cdr:y>
    </cdr:from>
    <cdr:to>
      <cdr:x>0.97559</cdr:x>
      <cdr:y>0.34139</cdr:y>
    </cdr:to>
    <cdr:sp macro="" textlink="">
      <cdr:nvSpPr>
        <cdr:cNvPr id="2" name="Textfeld 1"/>
        <cdr:cNvSpPr txBox="1"/>
      </cdr:nvSpPr>
      <cdr:spPr>
        <a:xfrm xmlns:a="http://schemas.openxmlformats.org/drawingml/2006/main">
          <a:off x="3025294" y="358331"/>
          <a:ext cx="1435105" cy="543483"/>
        </a:xfrm>
        <a:prstGeom xmlns:a="http://schemas.openxmlformats.org/drawingml/2006/main" prst="rect">
          <a:avLst/>
        </a:prstGeom>
        <a:ln xmlns:a="http://schemas.openxmlformats.org/drawingml/2006/main" w="12700" cmpd="sng">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de-DE" sz="800"/>
            <a:t>OM: ohne Mykoplasmen Infektion</a:t>
          </a:r>
          <a:br>
            <a:rPr lang="de-DE" sz="800"/>
          </a:br>
          <a:r>
            <a:rPr lang="de-DE" sz="800"/>
            <a:t>M:</a:t>
          </a:r>
          <a:r>
            <a:rPr lang="de-DE" sz="800" baseline="0"/>
            <a:t> Mit Mykoplasmen Infektion </a:t>
          </a:r>
          <a:endParaRPr lang="de-DE" sz="800"/>
        </a:p>
      </cdr:txBody>
    </cdr:sp>
  </cdr:relSizeAnchor>
</c:userShapes>
</file>

<file path=word/drawings/drawing5.xml><?xml version="1.0" encoding="utf-8"?>
<c:userShapes xmlns:c="http://schemas.openxmlformats.org/drawingml/2006/chart">
  <cdr:relSizeAnchor xmlns:cdr="http://schemas.openxmlformats.org/drawingml/2006/chartDrawing">
    <cdr:from>
      <cdr:x>0.62702</cdr:x>
      <cdr:y>0.16512</cdr:y>
    </cdr:from>
    <cdr:to>
      <cdr:x>0.967</cdr:x>
      <cdr:y>0.42269</cdr:y>
    </cdr:to>
    <cdr:sp macro="" textlink="">
      <cdr:nvSpPr>
        <cdr:cNvPr id="4" name="Textfeld 3">
          <a:extLst xmlns:a="http://schemas.openxmlformats.org/drawingml/2006/main">
            <a:ext uri="{FF2B5EF4-FFF2-40B4-BE49-F238E27FC236}">
              <a16:creationId xmlns:a16="http://schemas.microsoft.com/office/drawing/2014/main" id="{6E181EE8-0989-452C-A312-E71EE0E0CE3C}"/>
            </a:ext>
          </a:extLst>
        </cdr:cNvPr>
        <cdr:cNvSpPr txBox="1"/>
      </cdr:nvSpPr>
      <cdr:spPr>
        <a:xfrm xmlns:a="http://schemas.openxmlformats.org/drawingml/2006/main">
          <a:off x="2838450" y="463862"/>
          <a:ext cx="1539077" cy="723588"/>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de-DE" sz="800">
              <a:effectLst/>
              <a:latin typeface="+mn-lt"/>
              <a:ea typeface="+mn-ea"/>
              <a:cs typeface="+mn-cs"/>
            </a:rPr>
            <a:t>M: mit</a:t>
          </a:r>
          <a:r>
            <a:rPr lang="de-DE" sz="800" baseline="0">
              <a:effectLst/>
              <a:latin typeface="+mn-lt"/>
              <a:ea typeface="+mn-ea"/>
              <a:cs typeface="+mn-cs"/>
            </a:rPr>
            <a:t> Mykoplasmen Infektion </a:t>
          </a:r>
          <a:endParaRPr lang="de-DE" sz="800">
            <a:effectLst/>
          </a:endParaRPr>
        </a:p>
        <a:p xmlns:a="http://schemas.openxmlformats.org/drawingml/2006/main">
          <a:r>
            <a:rPr lang="de-DE" sz="800" baseline="0">
              <a:effectLst/>
              <a:latin typeface="+mn-lt"/>
              <a:ea typeface="+mn-ea"/>
              <a:cs typeface="+mn-cs"/>
            </a:rPr>
            <a:t>OM: ohne Mykoplasmen Infektion </a:t>
          </a:r>
          <a:br>
            <a:rPr lang="de-DE" sz="800" baseline="0">
              <a:effectLst/>
              <a:latin typeface="+mn-lt"/>
              <a:ea typeface="+mn-ea"/>
              <a:cs typeface="+mn-cs"/>
            </a:rPr>
          </a:br>
          <a:r>
            <a:rPr lang="de-DE" sz="800" baseline="0">
              <a:effectLst/>
              <a:latin typeface="+mn-lt"/>
              <a:ea typeface="+mn-ea"/>
              <a:cs typeface="+mn-cs"/>
            </a:rPr>
            <a:t>P2: 21 Tage nach der zweiten Passage</a:t>
          </a:r>
          <a:endParaRPr lang="de-DE" sz="800">
            <a:effectLst/>
          </a:endParaRPr>
        </a:p>
        <a:p xmlns:a="http://schemas.openxmlformats.org/drawingml/2006/main">
          <a:endParaRPr lang="de-DE" sz="800"/>
        </a:p>
      </cdr:txBody>
    </cdr:sp>
  </cdr:relSizeAnchor>
</c:userShapes>
</file>

<file path=word/drawings/drawing6.xml><?xml version="1.0" encoding="utf-8"?>
<c:userShapes xmlns:c="http://schemas.openxmlformats.org/drawingml/2006/chart">
  <cdr:relSizeAnchor xmlns:cdr="http://schemas.openxmlformats.org/drawingml/2006/chartDrawing">
    <cdr:from>
      <cdr:x>0.62814</cdr:x>
      <cdr:y>0.01893</cdr:y>
    </cdr:from>
    <cdr:to>
      <cdr:x>0.99179</cdr:x>
      <cdr:y>0.23572</cdr:y>
    </cdr:to>
    <cdr:sp macro="" textlink="">
      <cdr:nvSpPr>
        <cdr:cNvPr id="6" name="Textfeld 5">
          <a:extLst xmlns:a="http://schemas.openxmlformats.org/drawingml/2006/main">
            <a:ext uri="{FF2B5EF4-FFF2-40B4-BE49-F238E27FC236}">
              <a16:creationId xmlns:a16="http://schemas.microsoft.com/office/drawing/2014/main" id="{70A68EEB-960F-4E7E-A601-4980FE280197}"/>
            </a:ext>
          </a:extLst>
        </cdr:cNvPr>
        <cdr:cNvSpPr txBox="1"/>
      </cdr:nvSpPr>
      <cdr:spPr>
        <a:xfrm xmlns:a="http://schemas.openxmlformats.org/drawingml/2006/main">
          <a:off x="2857500" y="53035"/>
          <a:ext cx="1654292" cy="60736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de-DE" sz="800">
              <a:effectLst/>
              <a:latin typeface="+mn-lt"/>
              <a:ea typeface="+mn-ea"/>
              <a:cs typeface="+mn-cs"/>
            </a:rPr>
            <a:t>M: mit</a:t>
          </a:r>
          <a:r>
            <a:rPr lang="de-DE" sz="800" baseline="0">
              <a:effectLst/>
              <a:latin typeface="+mn-lt"/>
              <a:ea typeface="+mn-ea"/>
              <a:cs typeface="+mn-cs"/>
            </a:rPr>
            <a:t> Mykoplasmen Infektion </a:t>
          </a:r>
          <a:endParaRPr lang="de-DE" sz="800">
            <a:effectLst/>
          </a:endParaRPr>
        </a:p>
        <a:p xmlns:a="http://schemas.openxmlformats.org/drawingml/2006/main">
          <a:r>
            <a:rPr lang="de-DE" sz="800" baseline="0">
              <a:effectLst/>
              <a:latin typeface="+mn-lt"/>
              <a:ea typeface="+mn-ea"/>
              <a:cs typeface="+mn-cs"/>
            </a:rPr>
            <a:t>OM: ohne Mykoplasmen Infektion </a:t>
          </a:r>
          <a:br>
            <a:rPr lang="de-DE" sz="800" baseline="0">
              <a:effectLst/>
              <a:latin typeface="+mn-lt"/>
              <a:ea typeface="+mn-ea"/>
              <a:cs typeface="+mn-cs"/>
            </a:rPr>
          </a:br>
          <a:r>
            <a:rPr lang="de-DE" sz="800" baseline="0">
              <a:effectLst/>
              <a:latin typeface="+mn-lt"/>
              <a:ea typeface="+mn-ea"/>
              <a:cs typeface="+mn-cs"/>
            </a:rPr>
            <a:t>P2: 21 Tage nach der zweiten Passage </a:t>
          </a:r>
          <a:endParaRPr lang="de-DE" sz="800">
            <a:effectLst/>
          </a:endParaRPr>
        </a:p>
        <a:p xmlns:a="http://schemas.openxmlformats.org/drawingml/2006/main">
          <a:endParaRPr lang="de-DE" sz="1100"/>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C8D83-C210-47E8-8026-715132C88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32921</Words>
  <Characters>207405</Characters>
  <Application>Microsoft Office Word</Application>
  <DocSecurity>0</DocSecurity>
  <Lines>1728</Lines>
  <Paragraphs>479</Paragraphs>
  <ScaleCrop>false</ScaleCrop>
  <HeadingPairs>
    <vt:vector size="4" baseType="variant">
      <vt:variant>
        <vt:lpstr>Titel</vt:lpstr>
      </vt:variant>
      <vt:variant>
        <vt:i4>1</vt:i4>
      </vt:variant>
      <vt:variant>
        <vt:lpstr>Überschriften</vt:lpstr>
      </vt:variant>
      <vt:variant>
        <vt:i4>31</vt:i4>
      </vt:variant>
    </vt:vector>
  </HeadingPairs>
  <TitlesOfParts>
    <vt:vector size="32" baseType="lpstr">
      <vt:lpstr/>
      <vt:lpstr>Tabellen- und Abbildungsverzeichnis</vt:lpstr>
      <vt:lpstr>Abkürzungsverzeichnis</vt:lpstr>
      <vt:lpstr>Einleitung</vt:lpstr>
      <vt:lpstr>    Klinische Relevanz und Behandlungsaspekte des Urothelkarzinoms</vt:lpstr>
      <vt:lpstr>        Allgemeine Histologie und Eigenschaften des Urothels</vt:lpstr>
      <vt:lpstr>        Eigenschaften, Epidemiologie und Risikofaktoren des Urothelkarzinoms </vt:lpstr>
      <vt:lpstr>        Diagnostik </vt:lpstr>
      <vt:lpstr>        Klassifikation und Therapie von Blasenkarzinomen</vt:lpstr>
      <vt:lpstr>        Wirtschaftlicher Aspekt bei Blasenkrebs</vt:lpstr>
      <vt:lpstr>    Expression von CD276 und anderen Tumormarkern bei Blasenkarzinom und molekulare </vt:lpstr>
      <vt:lpstr>        Tumortherapie allgemein und Grundlagen der Immunantwort </vt:lpstr>
      <vt:lpstr>        Klinische Relevanz </vt:lpstr>
      <vt:lpstr>    Eigenschaften von Mykoplasmen sowie Nachweis und Therapie</vt:lpstr>
      <vt:lpstr>        Eigenschaften und Nachweis </vt:lpstr>
      <vt:lpstr>        Screening und Therapie von Mykoplasmeninfektionen</vt:lpstr>
      <vt:lpstr>        Klinische Relevanz von Langzeit Infektionen mit Mykoplasmen </vt:lpstr>
      <vt:lpstr>    Ziel der Arbeit</vt:lpstr>
      <vt:lpstr>Material und Methoden</vt:lpstr>
      <vt:lpstr>    Geräte und Materialien</vt:lpstr>
      <vt:lpstr>    Probenmaterial</vt:lpstr>
      <vt:lpstr>    Allgemeine Zellkultur und Proliferationsrate</vt:lpstr>
      <vt:lpstr>        Zellkultur und Passage der Zelllinien (Cal29, T24 und HT1197)</vt:lpstr>
      <vt:lpstr>        Zellkultur und Passage der aus nativ Präparaten isolierten Harnleiterzellen </vt:lpstr>
      <vt:lpstr>        Infektion von HT1197, HL20/31 und HL20/32</vt:lpstr>
      <vt:lpstr>    RNA-Extraktion, Umschreibung in cDNA und qRT-PCR</vt:lpstr>
      <vt:lpstr>        RNA-Extraktion</vt:lpstr>
      <vt:lpstr>        Umschreiben der RNA in cDNA mittels Reverser Transkription</vt:lpstr>
      <vt:lpstr>        qRT-PCR</vt:lpstr>
      <vt:lpstr>    Proteinbestimmung mittels Western Blot</vt:lpstr>
      <vt:lpstr>        Proteinextraktion</vt:lpstr>
      <vt:lpstr>        Proteinbestimmung</vt:lpstr>
    </vt:vector>
  </TitlesOfParts>
  <Company/>
  <LinksUpToDate>false</LinksUpToDate>
  <CharactersWithSpaces>239847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Nathalie</cp:lastModifiedBy>
  <cp:revision>16</cp:revision>
  <cp:lastPrinted>2024-06-10T12:02:00Z</cp:lastPrinted>
  <dcterms:created xsi:type="dcterms:W3CDTF">2022-12-05T17:21:00Z</dcterms:created>
  <dcterms:modified xsi:type="dcterms:W3CDTF">2024-06-10T12:24:00Z</dcterms:modified>
</cp:coreProperties>
</file>